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7CB3" w14:textId="77777777" w:rsidR="004766B7" w:rsidRDefault="007D7C89" w:rsidP="004766B7">
      <w:pPr>
        <w:spacing w:after="0"/>
        <w:jc w:val="center"/>
        <w:textAlignment w:val="baseline"/>
        <w:rPr>
          <w:rFonts w:ascii="Book Antiqua" w:hAnsi="Book Antiqua"/>
          <w:b/>
          <w:sz w:val="24"/>
          <w:szCs w:val="24"/>
        </w:rPr>
      </w:pPr>
      <w:r>
        <w:rPr>
          <w:rFonts w:ascii="Book Antiqua" w:hAnsi="Book Antiqua"/>
          <w:b/>
          <w:sz w:val="24"/>
          <w:szCs w:val="24"/>
        </w:rPr>
        <w:t>INFORME DE PO</w:t>
      </w:r>
      <w:r w:rsidR="004766B7" w:rsidRPr="00071852">
        <w:rPr>
          <w:rFonts w:ascii="Book Antiqua" w:hAnsi="Book Antiqua"/>
          <w:b/>
          <w:sz w:val="24"/>
          <w:szCs w:val="24"/>
        </w:rPr>
        <w:t>NENCIA</w:t>
      </w:r>
      <w:r w:rsidR="00B2441B">
        <w:rPr>
          <w:rFonts w:ascii="Book Antiqua" w:hAnsi="Book Antiqua"/>
          <w:b/>
          <w:sz w:val="24"/>
          <w:szCs w:val="24"/>
        </w:rPr>
        <w:t xml:space="preserve"> NEGATIVA</w:t>
      </w:r>
      <w:r w:rsidR="004766B7" w:rsidRPr="00071852">
        <w:rPr>
          <w:rFonts w:ascii="Book Antiqua" w:hAnsi="Book Antiqua"/>
          <w:b/>
          <w:sz w:val="24"/>
          <w:szCs w:val="24"/>
        </w:rPr>
        <w:t xml:space="preserve"> PARA PRIMER DEBATE AL PROYECTO</w:t>
      </w:r>
      <w:r w:rsidR="004766B7" w:rsidRPr="00857BA4">
        <w:rPr>
          <w:rFonts w:ascii="Book Antiqua" w:hAnsi="Book Antiqua"/>
          <w:b/>
          <w:sz w:val="24"/>
          <w:szCs w:val="24"/>
        </w:rPr>
        <w:t xml:space="preserve"> LEY ESTATUTARIA NÚMERO 006 DE 2022 CÁMARA</w:t>
      </w:r>
    </w:p>
    <w:p w14:paraId="74619C64" w14:textId="77777777" w:rsidR="004766B7" w:rsidRPr="00857BA4" w:rsidRDefault="004766B7" w:rsidP="004766B7">
      <w:pPr>
        <w:spacing w:after="0"/>
        <w:jc w:val="center"/>
        <w:textAlignment w:val="baseline"/>
        <w:rPr>
          <w:rFonts w:ascii="Book Antiqua" w:hAnsi="Book Antiqua"/>
          <w:b/>
          <w:sz w:val="24"/>
          <w:szCs w:val="24"/>
        </w:rPr>
      </w:pPr>
    </w:p>
    <w:p w14:paraId="5FB99F76" w14:textId="77777777" w:rsidR="004766B7" w:rsidRPr="00857BA4" w:rsidRDefault="004766B7" w:rsidP="004766B7">
      <w:pPr>
        <w:spacing w:after="0"/>
        <w:jc w:val="center"/>
        <w:textAlignment w:val="baseline"/>
        <w:rPr>
          <w:rFonts w:ascii="Book Antiqua" w:hAnsi="Book Antiqua"/>
          <w:sz w:val="24"/>
          <w:szCs w:val="24"/>
        </w:rPr>
      </w:pPr>
    </w:p>
    <w:p w14:paraId="6F276AE0" w14:textId="77777777" w:rsidR="004766B7" w:rsidRDefault="004766B7" w:rsidP="004766B7">
      <w:pPr>
        <w:spacing w:after="0"/>
        <w:jc w:val="center"/>
        <w:textAlignment w:val="baseline"/>
        <w:rPr>
          <w:rFonts w:ascii="Book Antiqua" w:hAnsi="Book Antiqua"/>
          <w:sz w:val="24"/>
          <w:szCs w:val="24"/>
        </w:rPr>
      </w:pPr>
      <w:r w:rsidRPr="00857BA4">
        <w:rPr>
          <w:rFonts w:ascii="Book Antiqua" w:hAnsi="Book Antiqua"/>
          <w:sz w:val="24"/>
          <w:szCs w:val="24"/>
        </w:rPr>
        <w:t>“Por medio de la cual se regula el acceso al derecho fundamental a la muerte digna bajo la modalidad de muerte médicamente asistida y se dictan otras disposiciones”.</w:t>
      </w:r>
    </w:p>
    <w:p w14:paraId="560AB1A7" w14:textId="77777777" w:rsidR="004766B7" w:rsidRPr="00857BA4" w:rsidRDefault="004766B7" w:rsidP="004766B7">
      <w:pPr>
        <w:spacing w:after="0"/>
        <w:jc w:val="center"/>
        <w:textAlignment w:val="baseline"/>
        <w:rPr>
          <w:rFonts w:ascii="Book Antiqua" w:hAnsi="Book Antiqua"/>
          <w:sz w:val="24"/>
          <w:szCs w:val="24"/>
        </w:rPr>
      </w:pPr>
    </w:p>
    <w:p w14:paraId="734E323A" w14:textId="77777777" w:rsidR="004766B7" w:rsidRPr="00857BA4" w:rsidRDefault="004766B7" w:rsidP="004766B7">
      <w:pPr>
        <w:jc w:val="both"/>
        <w:rPr>
          <w:rFonts w:ascii="Book Antiqua" w:hAnsi="Book Antiqua"/>
          <w:b/>
          <w:sz w:val="24"/>
          <w:szCs w:val="24"/>
        </w:rPr>
      </w:pPr>
      <w:r w:rsidRPr="00857BA4">
        <w:rPr>
          <w:rFonts w:ascii="Book Antiqua" w:hAnsi="Book Antiqua"/>
          <w:b/>
          <w:sz w:val="24"/>
          <w:szCs w:val="24"/>
        </w:rPr>
        <w:t xml:space="preserve">Bogotá, D.C. 18 de agosto de 2022 </w:t>
      </w:r>
    </w:p>
    <w:p w14:paraId="19E9BDC1" w14:textId="77777777" w:rsidR="004766B7" w:rsidRPr="00857BA4" w:rsidRDefault="004766B7" w:rsidP="004766B7">
      <w:pPr>
        <w:jc w:val="both"/>
        <w:rPr>
          <w:rFonts w:ascii="Book Antiqua" w:hAnsi="Book Antiqua"/>
          <w:b/>
          <w:sz w:val="24"/>
          <w:szCs w:val="24"/>
        </w:rPr>
      </w:pPr>
    </w:p>
    <w:p w14:paraId="37215122" w14:textId="77777777" w:rsidR="004766B7" w:rsidRPr="00857BA4" w:rsidRDefault="004766B7" w:rsidP="004766B7">
      <w:pPr>
        <w:pStyle w:val="Sinespaciado"/>
        <w:rPr>
          <w:rFonts w:ascii="Book Antiqua" w:hAnsi="Book Antiqua"/>
          <w:b/>
          <w:sz w:val="24"/>
          <w:szCs w:val="24"/>
        </w:rPr>
      </w:pPr>
      <w:r w:rsidRPr="00857BA4">
        <w:rPr>
          <w:rFonts w:ascii="Book Antiqua" w:hAnsi="Book Antiqua"/>
          <w:b/>
          <w:sz w:val="24"/>
          <w:szCs w:val="24"/>
        </w:rPr>
        <w:t xml:space="preserve">Honorable Representante </w:t>
      </w:r>
    </w:p>
    <w:p w14:paraId="14324BCA" w14:textId="77777777" w:rsidR="004766B7" w:rsidRPr="00857BA4" w:rsidRDefault="004766B7" w:rsidP="004766B7">
      <w:pPr>
        <w:pStyle w:val="Sinespaciado"/>
        <w:rPr>
          <w:rFonts w:ascii="Book Antiqua" w:hAnsi="Book Antiqua"/>
          <w:b/>
          <w:sz w:val="24"/>
          <w:szCs w:val="24"/>
        </w:rPr>
      </w:pPr>
      <w:r w:rsidRPr="00857BA4">
        <w:rPr>
          <w:rFonts w:ascii="Book Antiqua" w:hAnsi="Book Antiqua"/>
          <w:b/>
          <w:sz w:val="24"/>
          <w:szCs w:val="24"/>
        </w:rPr>
        <w:t>JUAN CARLOS WILLS OSPINA</w:t>
      </w:r>
    </w:p>
    <w:p w14:paraId="68922DF7" w14:textId="77777777" w:rsidR="004766B7" w:rsidRPr="00857BA4" w:rsidRDefault="004766B7" w:rsidP="004766B7">
      <w:pPr>
        <w:pStyle w:val="Sinespaciado"/>
        <w:rPr>
          <w:rFonts w:ascii="Book Antiqua" w:hAnsi="Book Antiqua"/>
          <w:b/>
          <w:sz w:val="24"/>
          <w:szCs w:val="24"/>
        </w:rPr>
      </w:pPr>
      <w:r w:rsidRPr="00857BA4">
        <w:rPr>
          <w:rFonts w:ascii="Book Antiqua" w:hAnsi="Book Antiqua"/>
          <w:b/>
          <w:sz w:val="24"/>
          <w:szCs w:val="24"/>
        </w:rPr>
        <w:t xml:space="preserve">Presidente </w:t>
      </w:r>
    </w:p>
    <w:p w14:paraId="4AFA55AA" w14:textId="77777777" w:rsidR="004766B7" w:rsidRPr="00857BA4" w:rsidRDefault="004766B7" w:rsidP="004766B7">
      <w:pPr>
        <w:pStyle w:val="Sinespaciado"/>
        <w:rPr>
          <w:rFonts w:ascii="Book Antiqua" w:hAnsi="Book Antiqua"/>
          <w:b/>
          <w:sz w:val="24"/>
          <w:szCs w:val="24"/>
        </w:rPr>
      </w:pPr>
      <w:r w:rsidRPr="00857BA4">
        <w:rPr>
          <w:rFonts w:ascii="Book Antiqua" w:hAnsi="Book Antiqua"/>
          <w:b/>
          <w:sz w:val="24"/>
          <w:szCs w:val="24"/>
        </w:rPr>
        <w:t>Comisión Primera Constitucional</w:t>
      </w:r>
    </w:p>
    <w:p w14:paraId="00B53B0B" w14:textId="77777777" w:rsidR="004766B7" w:rsidRDefault="004766B7" w:rsidP="004766B7">
      <w:pPr>
        <w:pStyle w:val="Sinespaciado"/>
        <w:rPr>
          <w:rFonts w:ascii="Book Antiqua" w:hAnsi="Book Antiqua"/>
          <w:b/>
          <w:sz w:val="24"/>
          <w:szCs w:val="24"/>
        </w:rPr>
      </w:pPr>
      <w:r w:rsidRPr="00857BA4">
        <w:rPr>
          <w:rFonts w:ascii="Book Antiqua" w:hAnsi="Book Antiqua"/>
          <w:b/>
          <w:sz w:val="24"/>
          <w:szCs w:val="24"/>
        </w:rPr>
        <w:t>Cámara de Representantes</w:t>
      </w:r>
    </w:p>
    <w:p w14:paraId="0C8CC77E" w14:textId="77777777" w:rsidR="004766B7" w:rsidRPr="00857BA4" w:rsidRDefault="004766B7" w:rsidP="004766B7">
      <w:pPr>
        <w:jc w:val="both"/>
        <w:rPr>
          <w:rFonts w:ascii="Book Antiqua" w:hAnsi="Book Antiqua"/>
          <w:b/>
          <w:sz w:val="24"/>
          <w:szCs w:val="24"/>
        </w:rPr>
      </w:pPr>
    </w:p>
    <w:p w14:paraId="0FCDF4A2" w14:textId="77777777" w:rsidR="004766B7" w:rsidRPr="00857BA4" w:rsidRDefault="004766B7" w:rsidP="004766B7">
      <w:pPr>
        <w:jc w:val="both"/>
        <w:rPr>
          <w:rFonts w:ascii="Book Antiqua" w:hAnsi="Book Antiqua"/>
          <w:b/>
          <w:sz w:val="24"/>
          <w:szCs w:val="24"/>
        </w:rPr>
      </w:pPr>
      <w:r w:rsidRPr="00857BA4">
        <w:rPr>
          <w:rFonts w:ascii="Book Antiqua" w:hAnsi="Book Antiqua"/>
          <w:b/>
          <w:sz w:val="24"/>
          <w:szCs w:val="24"/>
        </w:rPr>
        <w:t xml:space="preserve">Referencia: Informe de Ponencia </w:t>
      </w:r>
      <w:r w:rsidR="00B2441B">
        <w:rPr>
          <w:rFonts w:ascii="Book Antiqua" w:hAnsi="Book Antiqua"/>
          <w:b/>
          <w:sz w:val="24"/>
          <w:szCs w:val="24"/>
        </w:rPr>
        <w:t xml:space="preserve">negativa </w:t>
      </w:r>
      <w:r w:rsidRPr="00857BA4">
        <w:rPr>
          <w:rFonts w:ascii="Book Antiqua" w:hAnsi="Book Antiqua"/>
          <w:b/>
          <w:sz w:val="24"/>
          <w:szCs w:val="24"/>
        </w:rPr>
        <w:t xml:space="preserve">para primer debate al Proyecto de </w:t>
      </w:r>
      <w:r w:rsidR="00B2441B">
        <w:rPr>
          <w:rFonts w:ascii="Book Antiqua" w:hAnsi="Book Antiqua"/>
          <w:b/>
          <w:sz w:val="24"/>
          <w:szCs w:val="24"/>
        </w:rPr>
        <w:t xml:space="preserve">Ley Estatutaria </w:t>
      </w:r>
      <w:r w:rsidRPr="00857BA4">
        <w:rPr>
          <w:rFonts w:ascii="Book Antiqua" w:hAnsi="Book Antiqua"/>
          <w:b/>
          <w:sz w:val="24"/>
          <w:szCs w:val="24"/>
        </w:rPr>
        <w:t>No. 006 de 2022 Cámara</w:t>
      </w:r>
    </w:p>
    <w:p w14:paraId="0250B465" w14:textId="77777777" w:rsidR="0028726B" w:rsidRDefault="0028726B" w:rsidP="004766B7">
      <w:pPr>
        <w:jc w:val="both"/>
        <w:rPr>
          <w:rFonts w:ascii="Book Antiqua" w:hAnsi="Book Antiqua"/>
          <w:sz w:val="24"/>
          <w:szCs w:val="24"/>
        </w:rPr>
      </w:pPr>
    </w:p>
    <w:p w14:paraId="5239D414" w14:textId="4969FE61" w:rsidR="004766B7" w:rsidRPr="00857BA4" w:rsidRDefault="004766B7" w:rsidP="004766B7">
      <w:pPr>
        <w:jc w:val="both"/>
        <w:rPr>
          <w:rFonts w:ascii="Book Antiqua" w:hAnsi="Book Antiqua"/>
          <w:sz w:val="24"/>
          <w:szCs w:val="24"/>
        </w:rPr>
      </w:pPr>
      <w:r w:rsidRPr="00857BA4">
        <w:rPr>
          <w:rFonts w:ascii="Book Antiqua" w:hAnsi="Book Antiqua"/>
          <w:sz w:val="24"/>
          <w:szCs w:val="24"/>
        </w:rPr>
        <w:t xml:space="preserve">Honorables Representantes: </w:t>
      </w:r>
    </w:p>
    <w:p w14:paraId="0F89D743" w14:textId="6D254268" w:rsidR="004766B7" w:rsidRDefault="004766B7" w:rsidP="004766B7">
      <w:pPr>
        <w:jc w:val="both"/>
        <w:rPr>
          <w:rFonts w:ascii="Book Antiqua" w:hAnsi="Book Antiqua"/>
          <w:sz w:val="24"/>
          <w:szCs w:val="24"/>
        </w:rPr>
      </w:pPr>
      <w:r w:rsidRPr="00857BA4">
        <w:rPr>
          <w:rFonts w:ascii="Book Antiqua" w:hAnsi="Book Antiqua"/>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permitidos rendir informe de Ponencia NEGATIVA </w:t>
      </w:r>
      <w:r w:rsidR="00026190">
        <w:rPr>
          <w:rFonts w:ascii="Book Antiqua" w:hAnsi="Book Antiqua"/>
          <w:sz w:val="24"/>
          <w:szCs w:val="24"/>
        </w:rPr>
        <w:t xml:space="preserve">para primer debate </w:t>
      </w:r>
      <w:r w:rsidRPr="00857BA4">
        <w:rPr>
          <w:rFonts w:ascii="Book Antiqua" w:hAnsi="Book Antiqua"/>
          <w:sz w:val="24"/>
          <w:szCs w:val="24"/>
        </w:rPr>
        <w:t>al Proyecto de Ley Estatutaria No. 006 de 2022 Cámara, “</w:t>
      </w:r>
      <w:r w:rsidRPr="00857BA4">
        <w:rPr>
          <w:rFonts w:ascii="Book Antiqua" w:hAnsi="Book Antiqua"/>
          <w:i/>
          <w:sz w:val="24"/>
          <w:szCs w:val="24"/>
        </w:rPr>
        <w:t>Por medio de la cual se regula el acceso al derecho fundamental a la muerte digna bajo la modalidad de muerte médicamente asistida y se dictan otras disposiciones</w:t>
      </w:r>
      <w:r w:rsidRPr="00857BA4">
        <w:rPr>
          <w:rFonts w:ascii="Book Antiqua" w:hAnsi="Book Antiqua"/>
          <w:sz w:val="24"/>
          <w:szCs w:val="24"/>
        </w:rPr>
        <w:t xml:space="preserve">” , de acuerdo a los siguientes argumentos: </w:t>
      </w:r>
    </w:p>
    <w:p w14:paraId="49718712" w14:textId="77777777" w:rsidR="0028726B" w:rsidRPr="00857BA4" w:rsidRDefault="0028726B" w:rsidP="004766B7">
      <w:pPr>
        <w:jc w:val="both"/>
        <w:rPr>
          <w:rFonts w:ascii="Book Antiqua" w:hAnsi="Book Antiqua"/>
          <w:sz w:val="24"/>
          <w:szCs w:val="24"/>
        </w:rPr>
      </w:pPr>
    </w:p>
    <w:p w14:paraId="3613F092" w14:textId="77777777" w:rsidR="004766B7" w:rsidRDefault="004766B7" w:rsidP="004766B7">
      <w:pPr>
        <w:pStyle w:val="Prrafodelista"/>
        <w:numPr>
          <w:ilvl w:val="0"/>
          <w:numId w:val="4"/>
        </w:numPr>
        <w:spacing w:after="160" w:line="259" w:lineRule="auto"/>
        <w:jc w:val="both"/>
        <w:rPr>
          <w:rFonts w:ascii="Book Antiqua" w:hAnsi="Book Antiqua"/>
          <w:b/>
          <w:sz w:val="24"/>
          <w:szCs w:val="24"/>
        </w:rPr>
      </w:pPr>
      <w:r>
        <w:rPr>
          <w:rFonts w:ascii="Book Antiqua" w:hAnsi="Book Antiqua"/>
          <w:b/>
          <w:sz w:val="24"/>
          <w:szCs w:val="24"/>
        </w:rPr>
        <w:t xml:space="preserve">Trámite de la iniciativa </w:t>
      </w:r>
    </w:p>
    <w:p w14:paraId="3600D29A" w14:textId="660BE890" w:rsidR="004766B7" w:rsidRPr="004F25A7" w:rsidRDefault="004766B7" w:rsidP="004766B7">
      <w:pPr>
        <w:jc w:val="both"/>
        <w:rPr>
          <w:rFonts w:ascii="Book Antiqua" w:hAnsi="Book Antiqua"/>
          <w:bCs/>
          <w:sz w:val="24"/>
          <w:szCs w:val="24"/>
        </w:rPr>
      </w:pPr>
      <w:r w:rsidRPr="004F25A7">
        <w:rPr>
          <w:rFonts w:ascii="Book Antiqua" w:hAnsi="Book Antiqua"/>
          <w:bCs/>
          <w:sz w:val="24"/>
          <w:szCs w:val="24"/>
        </w:rPr>
        <w:t>El Proyecto de Ley estatutaria No. 006 de 2022 Cámara fue radicado el 21 de julio de 2022 po</w:t>
      </w:r>
      <w:r w:rsidR="00E92AC7">
        <w:rPr>
          <w:rFonts w:ascii="Book Antiqua" w:hAnsi="Book Antiqua"/>
          <w:bCs/>
          <w:sz w:val="24"/>
          <w:szCs w:val="24"/>
        </w:rPr>
        <w:t>r los</w:t>
      </w:r>
      <w:r w:rsidRPr="004F25A7">
        <w:rPr>
          <w:rFonts w:ascii="Book Antiqua" w:hAnsi="Book Antiqua"/>
          <w:bCs/>
          <w:sz w:val="24"/>
          <w:szCs w:val="24"/>
        </w:rPr>
        <w:t xml:space="preserve"> HS. Alejandro Alberto Vega Pérez , </w:t>
      </w:r>
      <w:r w:rsidR="00E92AC7">
        <w:rPr>
          <w:rFonts w:ascii="Book Antiqua" w:hAnsi="Book Antiqua"/>
          <w:bCs/>
          <w:sz w:val="24"/>
          <w:szCs w:val="24"/>
        </w:rPr>
        <w:t xml:space="preserve">H.S. </w:t>
      </w:r>
      <w:r w:rsidRPr="004F25A7">
        <w:rPr>
          <w:rFonts w:ascii="Book Antiqua" w:hAnsi="Book Antiqua"/>
          <w:bCs/>
          <w:sz w:val="24"/>
          <w:szCs w:val="24"/>
        </w:rPr>
        <w:t xml:space="preserve">Humberto de la calle Lombana , </w:t>
      </w:r>
      <w:r w:rsidR="00E92AC7">
        <w:rPr>
          <w:rFonts w:ascii="Book Antiqua" w:hAnsi="Book Antiqua"/>
          <w:bCs/>
          <w:sz w:val="24"/>
          <w:szCs w:val="24"/>
        </w:rPr>
        <w:t xml:space="preserve">H.S. </w:t>
      </w:r>
      <w:r w:rsidRPr="004F25A7">
        <w:rPr>
          <w:rFonts w:ascii="Book Antiqua" w:hAnsi="Book Antiqua"/>
          <w:bCs/>
          <w:sz w:val="24"/>
          <w:szCs w:val="24"/>
        </w:rPr>
        <w:t xml:space="preserve">María José Pizarro Rodríguez , </w:t>
      </w:r>
      <w:r w:rsidR="00E92AC7">
        <w:rPr>
          <w:rFonts w:ascii="Book Antiqua" w:hAnsi="Book Antiqua"/>
          <w:bCs/>
          <w:sz w:val="24"/>
          <w:szCs w:val="24"/>
        </w:rPr>
        <w:t xml:space="preserve">H.S. </w:t>
      </w:r>
      <w:r w:rsidRPr="004F25A7">
        <w:rPr>
          <w:rFonts w:ascii="Book Antiqua" w:hAnsi="Book Antiqua"/>
          <w:bCs/>
          <w:sz w:val="24"/>
          <w:szCs w:val="24"/>
        </w:rPr>
        <w:t xml:space="preserve">Alejandro Carlos Chacón Camargo , </w:t>
      </w:r>
      <w:r w:rsidR="00E92AC7">
        <w:rPr>
          <w:rFonts w:ascii="Book Antiqua" w:hAnsi="Book Antiqua"/>
          <w:bCs/>
          <w:sz w:val="24"/>
          <w:szCs w:val="24"/>
        </w:rPr>
        <w:t xml:space="preserve">H.S. </w:t>
      </w:r>
      <w:r w:rsidRPr="004F25A7">
        <w:rPr>
          <w:rFonts w:ascii="Book Antiqua" w:hAnsi="Book Antiqua"/>
          <w:bCs/>
          <w:sz w:val="24"/>
          <w:szCs w:val="24"/>
        </w:rPr>
        <w:t xml:space="preserve">Inti Raúl Asprilla Reyes , </w:t>
      </w:r>
      <w:r w:rsidR="00E92AC7">
        <w:rPr>
          <w:rFonts w:ascii="Book Antiqua" w:hAnsi="Book Antiqua"/>
          <w:bCs/>
          <w:sz w:val="24"/>
          <w:szCs w:val="24"/>
        </w:rPr>
        <w:t xml:space="preserve">H.S. </w:t>
      </w:r>
      <w:r w:rsidRPr="004F25A7">
        <w:rPr>
          <w:rFonts w:ascii="Book Antiqua" w:hAnsi="Book Antiqua"/>
          <w:bCs/>
          <w:sz w:val="24"/>
          <w:szCs w:val="24"/>
        </w:rPr>
        <w:t xml:space="preserve">Omar de Jesús Restrepo Correa , </w:t>
      </w:r>
      <w:r w:rsidR="00E92AC7">
        <w:rPr>
          <w:rFonts w:ascii="Book Antiqua" w:hAnsi="Book Antiqua"/>
          <w:bCs/>
          <w:sz w:val="24"/>
          <w:szCs w:val="24"/>
        </w:rPr>
        <w:t xml:space="preserve">H.S. </w:t>
      </w:r>
      <w:r w:rsidRPr="004F25A7">
        <w:rPr>
          <w:rFonts w:ascii="Book Antiqua" w:hAnsi="Book Antiqua"/>
          <w:bCs/>
          <w:sz w:val="24"/>
          <w:szCs w:val="24"/>
        </w:rPr>
        <w:t xml:space="preserve">Wilson Arias Castillo , </w:t>
      </w:r>
      <w:r w:rsidR="00E92AC7">
        <w:rPr>
          <w:rFonts w:ascii="Book Antiqua" w:hAnsi="Book Antiqua"/>
          <w:bCs/>
          <w:sz w:val="24"/>
          <w:szCs w:val="24"/>
        </w:rPr>
        <w:t xml:space="preserve">H.S. </w:t>
      </w:r>
      <w:r w:rsidRPr="004F25A7">
        <w:rPr>
          <w:rFonts w:ascii="Book Antiqua" w:hAnsi="Book Antiqua"/>
          <w:bCs/>
          <w:sz w:val="24"/>
          <w:szCs w:val="24"/>
        </w:rPr>
        <w:t xml:space="preserve">Yuly Esmeralda Hernández Silva , </w:t>
      </w:r>
      <w:r w:rsidR="00E92AC7">
        <w:rPr>
          <w:rFonts w:ascii="Book Antiqua" w:hAnsi="Book Antiqua"/>
          <w:bCs/>
          <w:sz w:val="24"/>
          <w:szCs w:val="24"/>
        </w:rPr>
        <w:t xml:space="preserve">H.S. </w:t>
      </w:r>
      <w:r w:rsidRPr="004F25A7">
        <w:rPr>
          <w:rFonts w:ascii="Book Antiqua" w:hAnsi="Book Antiqua"/>
          <w:bCs/>
          <w:sz w:val="24"/>
          <w:szCs w:val="24"/>
        </w:rPr>
        <w:t xml:space="preserve">Iván Cepeda Castro , </w:t>
      </w:r>
      <w:r w:rsidR="00E92AC7">
        <w:rPr>
          <w:rFonts w:ascii="Book Antiqua" w:hAnsi="Book Antiqua"/>
          <w:bCs/>
          <w:sz w:val="24"/>
          <w:szCs w:val="24"/>
        </w:rPr>
        <w:t xml:space="preserve">H.S. </w:t>
      </w:r>
      <w:r w:rsidRPr="004F25A7">
        <w:rPr>
          <w:rFonts w:ascii="Book Antiqua" w:hAnsi="Book Antiqua"/>
          <w:bCs/>
          <w:sz w:val="24"/>
          <w:szCs w:val="24"/>
        </w:rPr>
        <w:lastRenderedPageBreak/>
        <w:t xml:space="preserve">Griselda Lobo Silva </w:t>
      </w:r>
      <w:r w:rsidR="00E92AC7">
        <w:rPr>
          <w:rFonts w:ascii="Book Antiqua" w:hAnsi="Book Antiqua"/>
          <w:bCs/>
          <w:sz w:val="24"/>
          <w:szCs w:val="24"/>
        </w:rPr>
        <w:t xml:space="preserve">H.R. </w:t>
      </w:r>
      <w:r w:rsidRPr="004F25A7">
        <w:rPr>
          <w:rFonts w:ascii="Book Antiqua" w:hAnsi="Book Antiqua"/>
          <w:bCs/>
          <w:sz w:val="24"/>
          <w:szCs w:val="24"/>
        </w:rPr>
        <w:t xml:space="preserve">Juan Carlos Lozada Vargas , </w:t>
      </w:r>
      <w:r w:rsidR="00E92AC7">
        <w:rPr>
          <w:rFonts w:ascii="Book Antiqua" w:hAnsi="Book Antiqua"/>
          <w:bCs/>
          <w:sz w:val="24"/>
          <w:szCs w:val="24"/>
        </w:rPr>
        <w:t xml:space="preserve">H.R. </w:t>
      </w:r>
      <w:r w:rsidRPr="004F25A7">
        <w:rPr>
          <w:rFonts w:ascii="Book Antiqua" w:hAnsi="Book Antiqua"/>
          <w:bCs/>
          <w:sz w:val="24"/>
          <w:szCs w:val="24"/>
        </w:rPr>
        <w:t xml:space="preserve">Andrés David Calle Aguas , </w:t>
      </w:r>
      <w:r w:rsidR="00E92AC7">
        <w:rPr>
          <w:rFonts w:ascii="Book Antiqua" w:hAnsi="Book Antiqua"/>
          <w:bCs/>
          <w:sz w:val="24"/>
          <w:szCs w:val="24"/>
        </w:rPr>
        <w:t xml:space="preserve">H.R. </w:t>
      </w:r>
      <w:r w:rsidR="00E92AC7" w:rsidRPr="004F25A7">
        <w:rPr>
          <w:rFonts w:ascii="Book Antiqua" w:hAnsi="Book Antiqua"/>
          <w:bCs/>
          <w:sz w:val="24"/>
          <w:szCs w:val="24"/>
        </w:rPr>
        <w:t>Julián</w:t>
      </w:r>
      <w:r w:rsidRPr="004F25A7">
        <w:rPr>
          <w:rFonts w:ascii="Book Antiqua" w:hAnsi="Book Antiqua"/>
          <w:bCs/>
          <w:sz w:val="24"/>
          <w:szCs w:val="24"/>
        </w:rPr>
        <w:t xml:space="preserve"> Peinado Ramírez , </w:t>
      </w:r>
      <w:r w:rsidR="00E92AC7">
        <w:rPr>
          <w:rFonts w:ascii="Book Antiqua" w:hAnsi="Book Antiqua"/>
          <w:bCs/>
          <w:sz w:val="24"/>
          <w:szCs w:val="24"/>
        </w:rPr>
        <w:t xml:space="preserve">H.R. </w:t>
      </w:r>
      <w:r w:rsidRPr="004F25A7">
        <w:rPr>
          <w:rFonts w:ascii="Book Antiqua" w:hAnsi="Book Antiqua"/>
          <w:bCs/>
          <w:sz w:val="24"/>
          <w:szCs w:val="24"/>
        </w:rPr>
        <w:t xml:space="preserve">María del Mar Pizarro García , </w:t>
      </w:r>
      <w:r w:rsidR="00E92AC7">
        <w:rPr>
          <w:rFonts w:ascii="Book Antiqua" w:hAnsi="Book Antiqua"/>
          <w:bCs/>
          <w:sz w:val="24"/>
          <w:szCs w:val="24"/>
        </w:rPr>
        <w:t xml:space="preserve">H.R. </w:t>
      </w:r>
      <w:r w:rsidRPr="004F25A7">
        <w:rPr>
          <w:rFonts w:ascii="Book Antiqua" w:hAnsi="Book Antiqua"/>
          <w:bCs/>
          <w:sz w:val="24"/>
          <w:szCs w:val="24"/>
        </w:rPr>
        <w:t xml:space="preserve">Jennifer Dalley Pedraza Sandoval , </w:t>
      </w:r>
      <w:r w:rsidR="00E92AC7">
        <w:rPr>
          <w:rFonts w:ascii="Book Antiqua" w:hAnsi="Book Antiqua"/>
          <w:bCs/>
          <w:sz w:val="24"/>
          <w:szCs w:val="24"/>
        </w:rPr>
        <w:t xml:space="preserve">H.R. </w:t>
      </w:r>
      <w:r w:rsidRPr="004F25A7">
        <w:rPr>
          <w:rFonts w:ascii="Book Antiqua" w:hAnsi="Book Antiqua"/>
          <w:bCs/>
          <w:sz w:val="24"/>
          <w:szCs w:val="24"/>
        </w:rPr>
        <w:t xml:space="preserve">David Ricardo Racero </w:t>
      </w:r>
      <w:proofErr w:type="spellStart"/>
      <w:r w:rsidRPr="004F25A7">
        <w:rPr>
          <w:rFonts w:ascii="Book Antiqua" w:hAnsi="Book Antiqua"/>
          <w:bCs/>
          <w:sz w:val="24"/>
          <w:szCs w:val="24"/>
        </w:rPr>
        <w:t>Mayorca</w:t>
      </w:r>
      <w:proofErr w:type="spellEnd"/>
      <w:r w:rsidRPr="004F25A7">
        <w:rPr>
          <w:rFonts w:ascii="Book Antiqua" w:hAnsi="Book Antiqua"/>
          <w:bCs/>
          <w:sz w:val="24"/>
          <w:szCs w:val="24"/>
        </w:rPr>
        <w:t xml:space="preserve"> , </w:t>
      </w:r>
      <w:r w:rsidR="00E92AC7">
        <w:rPr>
          <w:rFonts w:ascii="Book Antiqua" w:hAnsi="Book Antiqua"/>
          <w:bCs/>
          <w:sz w:val="24"/>
          <w:szCs w:val="24"/>
        </w:rPr>
        <w:t xml:space="preserve">H.R. </w:t>
      </w:r>
      <w:r w:rsidRPr="004F25A7">
        <w:rPr>
          <w:rFonts w:ascii="Book Antiqua" w:hAnsi="Book Antiqua"/>
          <w:bCs/>
          <w:sz w:val="24"/>
          <w:szCs w:val="24"/>
        </w:rPr>
        <w:t xml:space="preserve">Diógenes Quintero Amaya , </w:t>
      </w:r>
      <w:r w:rsidR="00E92AC7">
        <w:rPr>
          <w:rFonts w:ascii="Book Antiqua" w:hAnsi="Book Antiqua"/>
          <w:bCs/>
          <w:sz w:val="24"/>
          <w:szCs w:val="24"/>
        </w:rPr>
        <w:t xml:space="preserve">H.R. </w:t>
      </w:r>
      <w:r w:rsidRPr="004F25A7">
        <w:rPr>
          <w:rFonts w:ascii="Book Antiqua" w:hAnsi="Book Antiqua"/>
          <w:bCs/>
          <w:sz w:val="24"/>
          <w:szCs w:val="24"/>
        </w:rPr>
        <w:t xml:space="preserve">Gabriel Becerra </w:t>
      </w:r>
      <w:proofErr w:type="spellStart"/>
      <w:r w:rsidRPr="004F25A7">
        <w:rPr>
          <w:rFonts w:ascii="Book Antiqua" w:hAnsi="Book Antiqua"/>
          <w:bCs/>
          <w:sz w:val="24"/>
          <w:szCs w:val="24"/>
        </w:rPr>
        <w:t>Yañez</w:t>
      </w:r>
      <w:proofErr w:type="spellEnd"/>
      <w:r w:rsidRPr="004F25A7">
        <w:rPr>
          <w:rFonts w:ascii="Book Antiqua" w:hAnsi="Book Antiqua"/>
          <w:bCs/>
          <w:sz w:val="24"/>
          <w:szCs w:val="24"/>
        </w:rPr>
        <w:t xml:space="preserve"> , </w:t>
      </w:r>
      <w:r w:rsidR="00E92AC7">
        <w:rPr>
          <w:rFonts w:ascii="Book Antiqua" w:hAnsi="Book Antiqua"/>
          <w:bCs/>
          <w:sz w:val="24"/>
          <w:szCs w:val="24"/>
        </w:rPr>
        <w:t xml:space="preserve">H.R. </w:t>
      </w:r>
      <w:r w:rsidRPr="004F25A7">
        <w:rPr>
          <w:rFonts w:ascii="Book Antiqua" w:hAnsi="Book Antiqua"/>
          <w:bCs/>
          <w:sz w:val="24"/>
          <w:szCs w:val="24"/>
        </w:rPr>
        <w:t xml:space="preserve">Luis Alberto Albán Urbano , </w:t>
      </w:r>
      <w:r w:rsidR="00E92AC7">
        <w:rPr>
          <w:rFonts w:ascii="Book Antiqua" w:hAnsi="Book Antiqua"/>
          <w:bCs/>
          <w:sz w:val="24"/>
          <w:szCs w:val="24"/>
        </w:rPr>
        <w:t xml:space="preserve">H.R. </w:t>
      </w:r>
      <w:proofErr w:type="spellStart"/>
      <w:r w:rsidRPr="004F25A7">
        <w:rPr>
          <w:rFonts w:ascii="Book Antiqua" w:hAnsi="Book Antiqua"/>
          <w:bCs/>
          <w:sz w:val="24"/>
          <w:szCs w:val="24"/>
        </w:rPr>
        <w:t>Leyla</w:t>
      </w:r>
      <w:proofErr w:type="spellEnd"/>
      <w:r w:rsidRPr="004F25A7">
        <w:rPr>
          <w:rFonts w:ascii="Book Antiqua" w:hAnsi="Book Antiqua"/>
          <w:bCs/>
          <w:sz w:val="24"/>
          <w:szCs w:val="24"/>
        </w:rPr>
        <w:t xml:space="preserve"> Marleny Rincón Trujillo , </w:t>
      </w:r>
      <w:r w:rsidR="00E92AC7">
        <w:rPr>
          <w:rFonts w:ascii="Book Antiqua" w:hAnsi="Book Antiqua"/>
          <w:bCs/>
          <w:sz w:val="24"/>
          <w:szCs w:val="24"/>
        </w:rPr>
        <w:t xml:space="preserve">H.R. </w:t>
      </w:r>
      <w:r w:rsidRPr="004F25A7">
        <w:rPr>
          <w:rFonts w:ascii="Book Antiqua" w:hAnsi="Book Antiqua"/>
          <w:bCs/>
          <w:sz w:val="24"/>
          <w:szCs w:val="24"/>
        </w:rPr>
        <w:t xml:space="preserve">Alfredo Mondragón Garzón , </w:t>
      </w:r>
      <w:r w:rsidR="00E92AC7">
        <w:rPr>
          <w:rFonts w:ascii="Book Antiqua" w:hAnsi="Book Antiqua"/>
          <w:bCs/>
          <w:sz w:val="24"/>
          <w:szCs w:val="24"/>
        </w:rPr>
        <w:t xml:space="preserve">H.R. </w:t>
      </w:r>
      <w:r w:rsidRPr="004F25A7">
        <w:rPr>
          <w:rFonts w:ascii="Book Antiqua" w:hAnsi="Book Antiqua"/>
          <w:bCs/>
          <w:sz w:val="24"/>
          <w:szCs w:val="24"/>
        </w:rPr>
        <w:t xml:space="preserve">Jorge Andrés </w:t>
      </w:r>
      <w:proofErr w:type="spellStart"/>
      <w:r w:rsidRPr="004F25A7">
        <w:rPr>
          <w:rFonts w:ascii="Book Antiqua" w:hAnsi="Book Antiqua"/>
          <w:bCs/>
          <w:sz w:val="24"/>
          <w:szCs w:val="24"/>
        </w:rPr>
        <w:t>Cancimance</w:t>
      </w:r>
      <w:proofErr w:type="spellEnd"/>
      <w:r w:rsidRPr="004F25A7">
        <w:rPr>
          <w:rFonts w:ascii="Book Antiqua" w:hAnsi="Book Antiqua"/>
          <w:bCs/>
          <w:sz w:val="24"/>
          <w:szCs w:val="24"/>
        </w:rPr>
        <w:t xml:space="preserve"> López , </w:t>
      </w:r>
      <w:r w:rsidR="00E92AC7">
        <w:rPr>
          <w:rFonts w:ascii="Book Antiqua" w:hAnsi="Book Antiqua"/>
          <w:bCs/>
          <w:sz w:val="24"/>
          <w:szCs w:val="24"/>
        </w:rPr>
        <w:t xml:space="preserve">H.R. </w:t>
      </w:r>
      <w:r w:rsidRPr="004F25A7">
        <w:rPr>
          <w:rFonts w:ascii="Book Antiqua" w:hAnsi="Book Antiqua"/>
          <w:bCs/>
          <w:sz w:val="24"/>
          <w:szCs w:val="24"/>
        </w:rPr>
        <w:t xml:space="preserve">Carlos Alberto Carreño </w:t>
      </w:r>
      <w:r w:rsidR="00E92AC7" w:rsidRPr="004F25A7">
        <w:rPr>
          <w:rFonts w:ascii="Book Antiqua" w:hAnsi="Book Antiqua"/>
          <w:bCs/>
          <w:sz w:val="24"/>
          <w:szCs w:val="24"/>
        </w:rPr>
        <w:t>Marín</w:t>
      </w:r>
      <w:r w:rsidRPr="004F25A7">
        <w:rPr>
          <w:rFonts w:ascii="Book Antiqua" w:hAnsi="Book Antiqua"/>
          <w:bCs/>
          <w:sz w:val="24"/>
          <w:szCs w:val="24"/>
        </w:rPr>
        <w:t xml:space="preserve"> , </w:t>
      </w:r>
      <w:r w:rsidR="00E92AC7">
        <w:rPr>
          <w:rFonts w:ascii="Book Antiqua" w:hAnsi="Book Antiqua"/>
          <w:bCs/>
          <w:sz w:val="24"/>
          <w:szCs w:val="24"/>
        </w:rPr>
        <w:t xml:space="preserve">H.R. </w:t>
      </w:r>
      <w:r w:rsidRPr="004F25A7">
        <w:rPr>
          <w:rFonts w:ascii="Book Antiqua" w:hAnsi="Book Antiqua"/>
          <w:bCs/>
          <w:sz w:val="24"/>
          <w:szCs w:val="24"/>
        </w:rPr>
        <w:t xml:space="preserve">Catherine </w:t>
      </w:r>
      <w:proofErr w:type="spellStart"/>
      <w:r w:rsidRPr="004F25A7">
        <w:rPr>
          <w:rFonts w:ascii="Book Antiqua" w:hAnsi="Book Antiqua"/>
          <w:bCs/>
          <w:sz w:val="24"/>
          <w:szCs w:val="24"/>
        </w:rPr>
        <w:t>Juvinao</w:t>
      </w:r>
      <w:proofErr w:type="spellEnd"/>
      <w:r w:rsidRPr="004F25A7">
        <w:rPr>
          <w:rFonts w:ascii="Book Antiqua" w:hAnsi="Book Antiqua"/>
          <w:bCs/>
          <w:sz w:val="24"/>
          <w:szCs w:val="24"/>
        </w:rPr>
        <w:t xml:space="preserve"> Clavijo , </w:t>
      </w:r>
      <w:r w:rsidR="00E92AC7">
        <w:rPr>
          <w:rFonts w:ascii="Book Antiqua" w:hAnsi="Book Antiqua"/>
          <w:bCs/>
          <w:sz w:val="24"/>
          <w:szCs w:val="24"/>
        </w:rPr>
        <w:t xml:space="preserve">H.R. </w:t>
      </w:r>
      <w:r w:rsidRPr="004F25A7">
        <w:rPr>
          <w:rFonts w:ascii="Book Antiqua" w:hAnsi="Book Antiqua"/>
          <w:bCs/>
          <w:sz w:val="24"/>
          <w:szCs w:val="24"/>
        </w:rPr>
        <w:t xml:space="preserve">Santiago Osorio Marín , </w:t>
      </w:r>
      <w:r w:rsidR="00E92AC7">
        <w:rPr>
          <w:rFonts w:ascii="Book Antiqua" w:hAnsi="Book Antiqua"/>
          <w:bCs/>
          <w:sz w:val="24"/>
          <w:szCs w:val="24"/>
        </w:rPr>
        <w:t xml:space="preserve">H.R. </w:t>
      </w:r>
      <w:r w:rsidRPr="004F25A7">
        <w:rPr>
          <w:rFonts w:ascii="Book Antiqua" w:hAnsi="Book Antiqua"/>
          <w:bCs/>
          <w:sz w:val="24"/>
          <w:szCs w:val="24"/>
        </w:rPr>
        <w:t xml:space="preserve">María Fernanda Carrascal Rojas , </w:t>
      </w:r>
      <w:r w:rsidR="00E92AC7">
        <w:rPr>
          <w:rFonts w:ascii="Book Antiqua" w:hAnsi="Book Antiqua"/>
          <w:bCs/>
          <w:sz w:val="24"/>
          <w:szCs w:val="24"/>
        </w:rPr>
        <w:t xml:space="preserve">H.R. </w:t>
      </w:r>
      <w:proofErr w:type="spellStart"/>
      <w:r w:rsidRPr="004F25A7">
        <w:rPr>
          <w:rFonts w:ascii="Book Antiqua" w:hAnsi="Book Antiqua"/>
          <w:bCs/>
          <w:sz w:val="24"/>
          <w:szCs w:val="24"/>
        </w:rPr>
        <w:t>Luvi</w:t>
      </w:r>
      <w:proofErr w:type="spellEnd"/>
      <w:r w:rsidRPr="004F25A7">
        <w:rPr>
          <w:rFonts w:ascii="Book Antiqua" w:hAnsi="Book Antiqua"/>
          <w:bCs/>
          <w:sz w:val="24"/>
          <w:szCs w:val="24"/>
        </w:rPr>
        <w:t xml:space="preserve"> Katherine Miranda Peña , </w:t>
      </w:r>
      <w:r w:rsidR="00E92AC7">
        <w:rPr>
          <w:rFonts w:ascii="Book Antiqua" w:hAnsi="Book Antiqua"/>
          <w:bCs/>
          <w:sz w:val="24"/>
          <w:szCs w:val="24"/>
        </w:rPr>
        <w:t xml:space="preserve">H.R. </w:t>
      </w:r>
      <w:r w:rsidRPr="004F25A7">
        <w:rPr>
          <w:rFonts w:ascii="Book Antiqua" w:hAnsi="Book Antiqua"/>
          <w:bCs/>
          <w:sz w:val="24"/>
          <w:szCs w:val="24"/>
        </w:rPr>
        <w:t xml:space="preserve">Martha Lisbeth Alfonso Jurado , </w:t>
      </w:r>
      <w:r w:rsidR="00E92AC7">
        <w:rPr>
          <w:rFonts w:ascii="Book Antiqua" w:hAnsi="Book Antiqua"/>
          <w:bCs/>
          <w:sz w:val="24"/>
          <w:szCs w:val="24"/>
        </w:rPr>
        <w:t xml:space="preserve">H.R. </w:t>
      </w:r>
      <w:proofErr w:type="spellStart"/>
      <w:r w:rsidRPr="004F25A7">
        <w:rPr>
          <w:rFonts w:ascii="Book Antiqua" w:hAnsi="Book Antiqua"/>
          <w:bCs/>
          <w:sz w:val="24"/>
          <w:szCs w:val="24"/>
        </w:rPr>
        <w:t>Dolcey</w:t>
      </w:r>
      <w:proofErr w:type="spellEnd"/>
      <w:r w:rsidRPr="004F25A7">
        <w:rPr>
          <w:rFonts w:ascii="Book Antiqua" w:hAnsi="Book Antiqua"/>
          <w:bCs/>
          <w:sz w:val="24"/>
          <w:szCs w:val="24"/>
        </w:rPr>
        <w:t xml:space="preserve"> Oscar Torres Romero , </w:t>
      </w:r>
      <w:r w:rsidR="00E92AC7">
        <w:rPr>
          <w:rFonts w:ascii="Book Antiqua" w:hAnsi="Book Antiqua"/>
          <w:bCs/>
          <w:sz w:val="24"/>
          <w:szCs w:val="24"/>
        </w:rPr>
        <w:t xml:space="preserve">H.R. </w:t>
      </w:r>
      <w:r w:rsidRPr="004F25A7">
        <w:rPr>
          <w:rFonts w:ascii="Book Antiqua" w:hAnsi="Book Antiqua"/>
          <w:bCs/>
          <w:sz w:val="24"/>
          <w:szCs w:val="24"/>
        </w:rPr>
        <w:t xml:space="preserve">Daniel Carvalho Mejía , </w:t>
      </w:r>
      <w:r w:rsidR="00E92AC7">
        <w:rPr>
          <w:rFonts w:ascii="Book Antiqua" w:hAnsi="Book Antiqua"/>
          <w:bCs/>
          <w:sz w:val="24"/>
          <w:szCs w:val="24"/>
        </w:rPr>
        <w:t xml:space="preserve">H.R. </w:t>
      </w:r>
      <w:proofErr w:type="spellStart"/>
      <w:r w:rsidRPr="004F25A7">
        <w:rPr>
          <w:rFonts w:ascii="Book Antiqua" w:hAnsi="Book Antiqua"/>
          <w:bCs/>
          <w:sz w:val="24"/>
          <w:szCs w:val="24"/>
        </w:rPr>
        <w:t>Jezmi</w:t>
      </w:r>
      <w:proofErr w:type="spellEnd"/>
      <w:r w:rsidRPr="004F25A7">
        <w:rPr>
          <w:rFonts w:ascii="Book Antiqua" w:hAnsi="Book Antiqua"/>
          <w:bCs/>
          <w:sz w:val="24"/>
          <w:szCs w:val="24"/>
        </w:rPr>
        <w:t xml:space="preserve"> Lizeth Barraza </w:t>
      </w:r>
      <w:proofErr w:type="spellStart"/>
      <w:r w:rsidRPr="004F25A7">
        <w:rPr>
          <w:rFonts w:ascii="Book Antiqua" w:hAnsi="Book Antiqua"/>
          <w:bCs/>
          <w:sz w:val="24"/>
          <w:szCs w:val="24"/>
        </w:rPr>
        <w:t>Arraut</w:t>
      </w:r>
      <w:proofErr w:type="spellEnd"/>
      <w:r w:rsidRPr="004F25A7">
        <w:rPr>
          <w:rFonts w:ascii="Book Antiqua" w:hAnsi="Book Antiqua"/>
          <w:bCs/>
          <w:sz w:val="24"/>
          <w:szCs w:val="24"/>
        </w:rPr>
        <w:t xml:space="preserve"> , </w:t>
      </w:r>
      <w:r w:rsidR="00E92AC7">
        <w:rPr>
          <w:rFonts w:ascii="Book Antiqua" w:hAnsi="Book Antiqua"/>
          <w:bCs/>
          <w:sz w:val="24"/>
          <w:szCs w:val="24"/>
        </w:rPr>
        <w:t xml:space="preserve">H.R. </w:t>
      </w:r>
      <w:r w:rsidRPr="004F25A7">
        <w:rPr>
          <w:rFonts w:ascii="Book Antiqua" w:hAnsi="Book Antiqua"/>
          <w:bCs/>
          <w:sz w:val="24"/>
          <w:szCs w:val="24"/>
        </w:rPr>
        <w:t>Germán Rogelio Rozo Anís</w:t>
      </w:r>
    </w:p>
    <w:p w14:paraId="589C354F" w14:textId="1A59097E" w:rsidR="004766B7" w:rsidRDefault="004766B7" w:rsidP="004766B7">
      <w:pPr>
        <w:pStyle w:val="Ttulo2"/>
        <w:spacing w:line="240" w:lineRule="auto"/>
        <w:jc w:val="both"/>
        <w:rPr>
          <w:rFonts w:ascii="Book Antiqua" w:eastAsia="Calibri" w:hAnsi="Book Antiqua" w:cs="Calibri"/>
          <w:bCs/>
          <w:color w:val="000000" w:themeColor="text1"/>
          <w:sz w:val="24"/>
          <w:szCs w:val="24"/>
        </w:rPr>
      </w:pPr>
      <w:r w:rsidRPr="0016403D">
        <w:rPr>
          <w:rFonts w:ascii="Book Antiqua" w:eastAsia="Calibri" w:hAnsi="Book Antiqua" w:cs="Calibri"/>
          <w:bCs/>
          <w:color w:val="000000" w:themeColor="text1"/>
          <w:sz w:val="24"/>
          <w:szCs w:val="24"/>
        </w:rPr>
        <w:t>El día 0</w:t>
      </w:r>
      <w:r>
        <w:rPr>
          <w:rFonts w:ascii="Book Antiqua" w:eastAsia="Calibri" w:hAnsi="Book Antiqua" w:cs="Calibri"/>
          <w:bCs/>
          <w:color w:val="000000" w:themeColor="text1"/>
          <w:sz w:val="24"/>
          <w:szCs w:val="24"/>
        </w:rPr>
        <w:t>4</w:t>
      </w:r>
      <w:r w:rsidRPr="0016403D">
        <w:rPr>
          <w:rFonts w:ascii="Book Antiqua" w:eastAsia="Calibri" w:hAnsi="Book Antiqua" w:cs="Calibri"/>
          <w:bCs/>
          <w:color w:val="000000" w:themeColor="text1"/>
          <w:sz w:val="24"/>
          <w:szCs w:val="24"/>
        </w:rPr>
        <w:t xml:space="preserve"> de agosto de 2022 se designó como ponentes a los </w:t>
      </w:r>
      <w:r w:rsidR="00E92AC7">
        <w:rPr>
          <w:rFonts w:ascii="Book Antiqua" w:eastAsia="Calibri" w:hAnsi="Book Antiqua" w:cs="Calibri"/>
          <w:bCs/>
          <w:color w:val="000000" w:themeColor="text1"/>
          <w:sz w:val="24"/>
          <w:szCs w:val="24"/>
        </w:rPr>
        <w:t xml:space="preserve">H.R. </w:t>
      </w:r>
      <w:r w:rsidRPr="0016403D">
        <w:rPr>
          <w:rFonts w:ascii="Book Antiqua" w:eastAsia="Calibri" w:hAnsi="Book Antiqua" w:cs="Calibri"/>
          <w:bCs/>
          <w:color w:val="000000" w:themeColor="text1"/>
          <w:sz w:val="24"/>
          <w:szCs w:val="24"/>
        </w:rPr>
        <w:t xml:space="preserve"> Juan Carlos Lozada Vargas, </w:t>
      </w:r>
      <w:r>
        <w:rPr>
          <w:rFonts w:ascii="Book Antiqua" w:eastAsia="Calibri" w:hAnsi="Book Antiqua" w:cs="Calibri"/>
          <w:bCs/>
          <w:color w:val="000000" w:themeColor="text1"/>
          <w:sz w:val="24"/>
          <w:szCs w:val="24"/>
        </w:rPr>
        <w:t xml:space="preserve">Gabriel Becerra </w:t>
      </w:r>
      <w:proofErr w:type="spellStart"/>
      <w:r>
        <w:rPr>
          <w:rFonts w:ascii="Book Antiqua" w:eastAsia="Calibri" w:hAnsi="Book Antiqua" w:cs="Calibri"/>
          <w:bCs/>
          <w:color w:val="000000" w:themeColor="text1"/>
          <w:sz w:val="24"/>
          <w:szCs w:val="24"/>
        </w:rPr>
        <w:t>Yañes</w:t>
      </w:r>
      <w:proofErr w:type="spellEnd"/>
      <w:r>
        <w:rPr>
          <w:rFonts w:ascii="Book Antiqua" w:eastAsia="Calibri" w:hAnsi="Book Antiqua" w:cs="Calibri"/>
          <w:bCs/>
          <w:color w:val="000000" w:themeColor="text1"/>
          <w:sz w:val="24"/>
          <w:szCs w:val="24"/>
        </w:rPr>
        <w:t xml:space="preserve">, Adriana </w:t>
      </w:r>
      <w:r w:rsidR="00E92AC7">
        <w:rPr>
          <w:rFonts w:ascii="Book Antiqua" w:eastAsia="Calibri" w:hAnsi="Book Antiqua" w:cs="Calibri"/>
          <w:bCs/>
          <w:color w:val="000000" w:themeColor="text1"/>
          <w:sz w:val="24"/>
          <w:szCs w:val="24"/>
        </w:rPr>
        <w:t>Arbeláez</w:t>
      </w:r>
      <w:r>
        <w:rPr>
          <w:rFonts w:ascii="Book Antiqua" w:eastAsia="Calibri" w:hAnsi="Book Antiqua" w:cs="Calibri"/>
          <w:bCs/>
          <w:color w:val="000000" w:themeColor="text1"/>
          <w:sz w:val="24"/>
          <w:szCs w:val="24"/>
        </w:rPr>
        <w:t xml:space="preserve"> Giraldo, Luis Alberto Alban Urbano, Astrid </w:t>
      </w:r>
      <w:r w:rsidR="00E92AC7">
        <w:rPr>
          <w:rFonts w:ascii="Book Antiqua" w:eastAsia="Calibri" w:hAnsi="Book Antiqua" w:cs="Calibri"/>
          <w:bCs/>
          <w:color w:val="000000" w:themeColor="text1"/>
          <w:sz w:val="24"/>
          <w:szCs w:val="24"/>
        </w:rPr>
        <w:t>Sánchez</w:t>
      </w:r>
      <w:r>
        <w:rPr>
          <w:rFonts w:ascii="Book Antiqua" w:eastAsia="Calibri" w:hAnsi="Book Antiqua" w:cs="Calibri"/>
          <w:bCs/>
          <w:color w:val="000000" w:themeColor="text1"/>
          <w:sz w:val="24"/>
          <w:szCs w:val="24"/>
        </w:rPr>
        <w:t xml:space="preserve"> Montes, J</w:t>
      </w:r>
      <w:r w:rsidRPr="0016403D">
        <w:rPr>
          <w:rFonts w:ascii="Book Antiqua" w:eastAsia="Calibri" w:hAnsi="Book Antiqua" w:cs="Calibri"/>
          <w:bCs/>
          <w:color w:val="000000" w:themeColor="text1"/>
          <w:sz w:val="24"/>
          <w:szCs w:val="24"/>
        </w:rPr>
        <w:t>uan Daniel Peñuela Calvache</w:t>
      </w:r>
      <w:r>
        <w:rPr>
          <w:rFonts w:ascii="Book Antiqua" w:eastAsia="Calibri" w:hAnsi="Book Antiqua" w:cs="Calibri"/>
          <w:bCs/>
          <w:color w:val="000000" w:themeColor="text1"/>
          <w:sz w:val="24"/>
          <w:szCs w:val="24"/>
        </w:rPr>
        <w:t xml:space="preserve">, </w:t>
      </w:r>
      <w:proofErr w:type="spellStart"/>
      <w:r>
        <w:rPr>
          <w:rFonts w:ascii="Book Antiqua" w:eastAsia="Calibri" w:hAnsi="Book Antiqua" w:cs="Calibri"/>
          <w:bCs/>
          <w:color w:val="000000" w:themeColor="text1"/>
          <w:sz w:val="24"/>
          <w:szCs w:val="24"/>
        </w:rPr>
        <w:t>Marelen</w:t>
      </w:r>
      <w:proofErr w:type="spellEnd"/>
      <w:r>
        <w:rPr>
          <w:rFonts w:ascii="Book Antiqua" w:eastAsia="Calibri" w:hAnsi="Book Antiqua" w:cs="Calibri"/>
          <w:bCs/>
          <w:color w:val="000000" w:themeColor="text1"/>
          <w:sz w:val="24"/>
          <w:szCs w:val="24"/>
        </w:rPr>
        <w:t xml:space="preserve"> Castillo Torres, </w:t>
      </w:r>
      <w:r w:rsidR="00E92AC7">
        <w:rPr>
          <w:rFonts w:ascii="Book Antiqua" w:eastAsia="Calibri" w:hAnsi="Book Antiqua" w:cs="Calibri"/>
          <w:bCs/>
          <w:color w:val="000000" w:themeColor="text1"/>
          <w:sz w:val="24"/>
          <w:szCs w:val="24"/>
        </w:rPr>
        <w:t>José</w:t>
      </w:r>
      <w:r>
        <w:rPr>
          <w:rFonts w:ascii="Book Antiqua" w:eastAsia="Calibri" w:hAnsi="Book Antiqua" w:cs="Calibri"/>
          <w:bCs/>
          <w:color w:val="000000" w:themeColor="text1"/>
          <w:sz w:val="24"/>
          <w:szCs w:val="24"/>
        </w:rPr>
        <w:t xml:space="preserve"> Jaime </w:t>
      </w:r>
      <w:r w:rsidR="00E92AC7">
        <w:rPr>
          <w:rFonts w:ascii="Book Antiqua" w:eastAsia="Calibri" w:hAnsi="Book Antiqua" w:cs="Calibri"/>
          <w:bCs/>
          <w:color w:val="000000" w:themeColor="text1"/>
          <w:sz w:val="24"/>
          <w:szCs w:val="24"/>
        </w:rPr>
        <w:t>U</w:t>
      </w:r>
      <w:r>
        <w:rPr>
          <w:rFonts w:ascii="Book Antiqua" w:eastAsia="Calibri" w:hAnsi="Book Antiqua" w:cs="Calibri"/>
          <w:bCs/>
          <w:color w:val="000000" w:themeColor="text1"/>
          <w:sz w:val="24"/>
          <w:szCs w:val="24"/>
        </w:rPr>
        <w:t xml:space="preserve">scátegui y Santiago Osorio </w:t>
      </w:r>
      <w:r w:rsidR="00E92AC7">
        <w:rPr>
          <w:rFonts w:ascii="Book Antiqua" w:eastAsia="Calibri" w:hAnsi="Book Antiqua" w:cs="Calibri"/>
          <w:bCs/>
          <w:color w:val="000000" w:themeColor="text1"/>
          <w:sz w:val="24"/>
          <w:szCs w:val="24"/>
        </w:rPr>
        <w:t>Marín</w:t>
      </w:r>
      <w:r>
        <w:rPr>
          <w:rFonts w:ascii="Book Antiqua" w:eastAsia="Calibri" w:hAnsi="Book Antiqua" w:cs="Calibri"/>
          <w:bCs/>
          <w:color w:val="000000" w:themeColor="text1"/>
          <w:sz w:val="24"/>
          <w:szCs w:val="24"/>
        </w:rPr>
        <w:t xml:space="preserve">. </w:t>
      </w:r>
    </w:p>
    <w:p w14:paraId="7BB60FF5" w14:textId="77777777" w:rsidR="00F940D0" w:rsidRPr="00F940D0" w:rsidRDefault="00F940D0" w:rsidP="00F940D0">
      <w:pPr>
        <w:rPr>
          <w:lang w:eastAsia="en-US"/>
        </w:rPr>
      </w:pPr>
    </w:p>
    <w:p w14:paraId="128F184D" w14:textId="77777777" w:rsidR="004766B7" w:rsidRDefault="004766B7" w:rsidP="004766B7">
      <w:pPr>
        <w:pStyle w:val="Prrafodelista"/>
        <w:jc w:val="both"/>
        <w:rPr>
          <w:rFonts w:ascii="Book Antiqua" w:hAnsi="Book Antiqua"/>
          <w:b/>
          <w:sz w:val="24"/>
          <w:szCs w:val="24"/>
        </w:rPr>
      </w:pPr>
    </w:p>
    <w:p w14:paraId="16A403D6" w14:textId="77777777" w:rsidR="004766B7" w:rsidRPr="00F940D0" w:rsidRDefault="004766B7" w:rsidP="00F940D0">
      <w:pPr>
        <w:pStyle w:val="Prrafodelista"/>
        <w:numPr>
          <w:ilvl w:val="0"/>
          <w:numId w:val="4"/>
        </w:numPr>
        <w:spacing w:after="160" w:line="259" w:lineRule="auto"/>
        <w:jc w:val="both"/>
        <w:rPr>
          <w:rFonts w:ascii="Book Antiqua" w:hAnsi="Book Antiqua"/>
          <w:b/>
          <w:sz w:val="24"/>
          <w:szCs w:val="24"/>
        </w:rPr>
      </w:pPr>
      <w:r w:rsidRPr="00F940D0">
        <w:rPr>
          <w:rFonts w:ascii="Book Antiqua" w:hAnsi="Book Antiqua"/>
          <w:b/>
          <w:sz w:val="24"/>
          <w:szCs w:val="24"/>
        </w:rPr>
        <w:t xml:space="preserve">Derecho fundamental a la vida </w:t>
      </w:r>
    </w:p>
    <w:p w14:paraId="2D33F59F" w14:textId="77777777" w:rsidR="004766B7" w:rsidRPr="00857BA4" w:rsidRDefault="004766B7" w:rsidP="004766B7">
      <w:pPr>
        <w:jc w:val="both"/>
        <w:rPr>
          <w:rFonts w:ascii="Book Antiqua" w:hAnsi="Book Antiqua"/>
          <w:sz w:val="24"/>
          <w:szCs w:val="24"/>
        </w:rPr>
      </w:pPr>
      <w:r w:rsidRPr="00857BA4">
        <w:rPr>
          <w:rFonts w:ascii="Book Antiqua" w:hAnsi="Book Antiqua"/>
          <w:sz w:val="24"/>
          <w:szCs w:val="24"/>
        </w:rPr>
        <w:t xml:space="preserve">El derecho a la vida se encuentra consagrado en el preámbulo y artículos 1, 2 y 11 de la Constitución Política, por su parte el preámbulo señala que se debe asegurar la vida de los integrantes del Estado colombiano. Posteriormente el art. 1 establece que Colombia es un Estado fundado en la dignidad humana; el art. 2 señala que son fines esenciales del Estado garantizar todos los derechos y las autoridades están instituidas para proteger el derecho a la vida y; el art. 11 señala que el derecho a la vida es inviolable. </w:t>
      </w:r>
    </w:p>
    <w:p w14:paraId="3D62962D" w14:textId="77777777" w:rsidR="004766B7" w:rsidRPr="00857BA4" w:rsidRDefault="004766B7" w:rsidP="004766B7">
      <w:pPr>
        <w:jc w:val="both"/>
        <w:rPr>
          <w:rFonts w:ascii="Book Antiqua" w:hAnsi="Book Antiqua"/>
          <w:sz w:val="24"/>
          <w:szCs w:val="24"/>
        </w:rPr>
      </w:pPr>
      <w:r w:rsidRPr="00857BA4">
        <w:rPr>
          <w:rFonts w:ascii="Book Antiqua" w:hAnsi="Book Antiqua"/>
          <w:sz w:val="24"/>
          <w:szCs w:val="24"/>
        </w:rPr>
        <w:t>Es importante resaltar que el Estado reconoce sin discriminación alguna, la primacía de los derechos inalienables de la persona (art 5º de la C.P.). Estos derechos fundamentales son aquellos adscritos universalmente a todos en cuanto personas, o en cuanto a ciudadanos o personas con capacidad de obrar, y que son por tanto indisponibles e inalienables</w:t>
      </w:r>
      <w:r w:rsidRPr="00857BA4">
        <w:rPr>
          <w:rStyle w:val="Refdenotaalpie"/>
          <w:rFonts w:ascii="Book Antiqua" w:hAnsi="Book Antiqua"/>
          <w:sz w:val="24"/>
          <w:szCs w:val="24"/>
        </w:rPr>
        <w:footnoteReference w:id="1"/>
      </w:r>
      <w:r w:rsidRPr="00857BA4">
        <w:rPr>
          <w:rFonts w:ascii="Book Antiqua" w:hAnsi="Book Antiqua"/>
          <w:sz w:val="24"/>
          <w:szCs w:val="24"/>
        </w:rPr>
        <w:t xml:space="preserve"> </w:t>
      </w:r>
    </w:p>
    <w:p w14:paraId="0A2805C8" w14:textId="77777777" w:rsidR="004766B7" w:rsidRDefault="004766B7" w:rsidP="004766B7">
      <w:pPr>
        <w:jc w:val="both"/>
        <w:rPr>
          <w:rFonts w:ascii="Book Antiqua" w:hAnsi="Book Antiqua"/>
          <w:sz w:val="24"/>
          <w:szCs w:val="24"/>
        </w:rPr>
      </w:pPr>
      <w:r w:rsidRPr="00857BA4">
        <w:rPr>
          <w:rFonts w:ascii="Book Antiqua" w:hAnsi="Book Antiqua"/>
          <w:sz w:val="24"/>
          <w:szCs w:val="24"/>
        </w:rPr>
        <w:t>Ahora bien, de conformidad con el bloque de constitucionalidad, la Declaración Universal de los Derechos Humanos ha señalado que estos derechos tienen las características de ser inviolables, indisponibles, inalienables, universales, imprescriptibles e irre</w:t>
      </w:r>
      <w:r>
        <w:rPr>
          <w:rFonts w:ascii="Book Antiqua" w:hAnsi="Book Antiqua"/>
          <w:sz w:val="24"/>
          <w:szCs w:val="24"/>
        </w:rPr>
        <w:t xml:space="preserve">nunciables. Los anteriores son los predicados del </w:t>
      </w:r>
      <w:r w:rsidRPr="00857BA4">
        <w:rPr>
          <w:rFonts w:ascii="Book Antiqua" w:hAnsi="Book Antiqua"/>
          <w:sz w:val="24"/>
          <w:szCs w:val="24"/>
        </w:rPr>
        <w:t>derecho a la vida</w:t>
      </w:r>
      <w:r>
        <w:rPr>
          <w:rFonts w:ascii="Book Antiqua" w:hAnsi="Book Antiqua"/>
          <w:sz w:val="24"/>
          <w:szCs w:val="24"/>
        </w:rPr>
        <w:t xml:space="preserve"> que es inherente a la persona humana y está plenamente reconocido en el </w:t>
      </w:r>
      <w:r>
        <w:rPr>
          <w:rFonts w:ascii="Book Antiqua" w:hAnsi="Book Antiqua"/>
          <w:sz w:val="24"/>
          <w:szCs w:val="24"/>
        </w:rPr>
        <w:lastRenderedPageBreak/>
        <w:t>Derecho Internacional de los Derechos Humanos</w:t>
      </w:r>
      <w:r w:rsidRPr="00857BA4">
        <w:rPr>
          <w:rFonts w:ascii="Book Antiqua" w:hAnsi="Book Antiqua"/>
          <w:sz w:val="24"/>
          <w:szCs w:val="24"/>
        </w:rPr>
        <w:t xml:space="preserve">; </w:t>
      </w:r>
      <w:r>
        <w:rPr>
          <w:rFonts w:ascii="Book Antiqua" w:hAnsi="Book Antiqua"/>
          <w:sz w:val="24"/>
          <w:szCs w:val="24"/>
        </w:rPr>
        <w:t xml:space="preserve">por tanto, </w:t>
      </w:r>
      <w:r w:rsidRPr="00857BA4">
        <w:rPr>
          <w:rFonts w:ascii="Book Antiqua" w:hAnsi="Book Antiqua"/>
          <w:sz w:val="24"/>
          <w:szCs w:val="24"/>
        </w:rPr>
        <w:t>regular el acceso al derecho fundamental a la muerte digna bajo la modalidad de muerte médicamente asistida</w:t>
      </w:r>
      <w:r>
        <w:rPr>
          <w:rFonts w:ascii="Book Antiqua" w:hAnsi="Book Antiqua"/>
          <w:sz w:val="24"/>
          <w:szCs w:val="24"/>
        </w:rPr>
        <w:t xml:space="preserve"> </w:t>
      </w:r>
      <w:r w:rsidRPr="00857BA4">
        <w:rPr>
          <w:rFonts w:ascii="Book Antiqua" w:hAnsi="Book Antiqua"/>
          <w:sz w:val="24"/>
          <w:szCs w:val="24"/>
        </w:rPr>
        <w:t>transgrede tanto el ordenamiento jurídico interno como el</w:t>
      </w:r>
      <w:r>
        <w:rPr>
          <w:rFonts w:ascii="Book Antiqua" w:hAnsi="Book Antiqua"/>
          <w:sz w:val="24"/>
          <w:szCs w:val="24"/>
        </w:rPr>
        <w:t xml:space="preserve"> internacional.</w:t>
      </w:r>
    </w:p>
    <w:p w14:paraId="3C727D6F" w14:textId="77777777" w:rsidR="004766B7" w:rsidRPr="00857BA4" w:rsidRDefault="004766B7" w:rsidP="004766B7">
      <w:pPr>
        <w:jc w:val="both"/>
        <w:rPr>
          <w:rFonts w:ascii="Book Antiqua" w:hAnsi="Book Antiqua"/>
          <w:sz w:val="24"/>
          <w:szCs w:val="24"/>
        </w:rPr>
      </w:pPr>
    </w:p>
    <w:p w14:paraId="0F42D282" w14:textId="77777777" w:rsidR="004766B7" w:rsidRPr="00857BA4" w:rsidRDefault="004766B7" w:rsidP="004766B7">
      <w:pPr>
        <w:pStyle w:val="Prrafodelista"/>
        <w:numPr>
          <w:ilvl w:val="0"/>
          <w:numId w:val="4"/>
        </w:numPr>
        <w:spacing w:after="160" w:line="259" w:lineRule="auto"/>
        <w:jc w:val="both"/>
        <w:rPr>
          <w:rFonts w:ascii="Book Antiqua" w:hAnsi="Book Antiqua"/>
          <w:b/>
          <w:sz w:val="24"/>
          <w:szCs w:val="24"/>
        </w:rPr>
      </w:pPr>
      <w:r w:rsidRPr="00857BA4">
        <w:rPr>
          <w:rFonts w:ascii="Book Antiqua" w:hAnsi="Book Antiqua"/>
          <w:b/>
          <w:sz w:val="24"/>
          <w:szCs w:val="24"/>
        </w:rPr>
        <w:t xml:space="preserve">Argumentos jurídicos y técnicos </w:t>
      </w:r>
    </w:p>
    <w:p w14:paraId="11928E23"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3E637E13"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 xml:space="preserve">Estamos frente a un tema especialmente sensible que tiene que ver con ese derecho y valor supremo que es la vida, principio esencial de la existencia humana y condición necesaria para la realización de los demás derechos, esto es la interdependencia de los mismos. </w:t>
      </w:r>
    </w:p>
    <w:p w14:paraId="09E882EF"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37F3D11C"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 xml:space="preserve">Lo primero a tener en cuenta en este proyecto, que sin duda tiene un trabajo y un sustento jurídico importante, es justamente su objeto; dice el artículo 1 de proyecto: </w:t>
      </w:r>
      <w:r w:rsidRPr="00857BA4">
        <w:rPr>
          <w:rFonts w:ascii="Book Antiqua" w:eastAsia="Times New Roman" w:hAnsi="Book Antiqua" w:cs="Arial"/>
          <w:i/>
          <w:color w:val="393939"/>
          <w:sz w:val="24"/>
          <w:szCs w:val="24"/>
        </w:rPr>
        <w:t>“Esta ley estatutaria tiene por objeto regular el acceso al derecho fundamental a la muerte digna en la modalidad de muerte medicamente asistida y garantizar la seguridad jurídica de las personas involucradas en el procedimiento por medio del cual se aplica la muerte medicamente asistida”.</w:t>
      </w:r>
    </w:p>
    <w:p w14:paraId="1FA9E130"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5330A2E3"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 xml:space="preserve">Respetados Representantes, no está previsto en la Constitución Política de Colombia de 1991 un derecho fundamental a la muerte digna, ni puede estarlo; por el contrario, es la propia Constitución la que dispone en forma clara e inequívoca en su art. 11 que </w:t>
      </w:r>
      <w:r w:rsidRPr="00857BA4">
        <w:rPr>
          <w:rFonts w:ascii="Book Antiqua" w:eastAsia="Times New Roman" w:hAnsi="Book Antiqua" w:cs="Arial"/>
          <w:i/>
          <w:color w:val="393939"/>
          <w:sz w:val="24"/>
          <w:szCs w:val="24"/>
        </w:rPr>
        <w:t xml:space="preserve">“El derecho a la vida es inviolable y que no habrá pena de muerte”. </w:t>
      </w:r>
      <w:r w:rsidRPr="00857BA4">
        <w:rPr>
          <w:rFonts w:ascii="Book Antiqua" w:eastAsia="Times New Roman" w:hAnsi="Book Antiqua" w:cs="Arial"/>
          <w:color w:val="393939"/>
          <w:sz w:val="24"/>
          <w:szCs w:val="24"/>
        </w:rPr>
        <w:t xml:space="preserve">Por tanto, la vida como derecho supremo no puede afectarse ni judicial ni extrajudicialmente. </w:t>
      </w:r>
    </w:p>
    <w:p w14:paraId="0BE5BE00"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 xml:space="preserve"> </w:t>
      </w:r>
    </w:p>
    <w:p w14:paraId="07B6D02F"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En la exposición de motivos del proyecto de ley que nos ocupa, el numeral 3.4 sobre fundamentos jurisprudenciales, señala que “</w:t>
      </w:r>
      <w:r w:rsidRPr="00857BA4">
        <w:rPr>
          <w:rFonts w:ascii="Book Antiqua" w:eastAsia="Times New Roman" w:hAnsi="Book Antiqua" w:cs="Arial"/>
          <w:i/>
          <w:color w:val="393939"/>
          <w:sz w:val="24"/>
          <w:szCs w:val="24"/>
        </w:rPr>
        <w:t>Ante la reiterada omisión legislativa por parte del Congreso de la República, los principales reconocimientos y desarrollos normativos en materia del derecho a la muerte digna han sido acotados por vía jurisprudencial. De manera preponderante por la Corte Constitucional</w:t>
      </w:r>
      <w:r w:rsidRPr="00857BA4">
        <w:rPr>
          <w:rFonts w:ascii="Book Antiqua" w:eastAsia="Times New Roman" w:hAnsi="Book Antiqua" w:cs="Arial"/>
          <w:color w:val="393939"/>
          <w:sz w:val="24"/>
          <w:szCs w:val="24"/>
        </w:rPr>
        <w:t xml:space="preserve">”.  </w:t>
      </w:r>
    </w:p>
    <w:p w14:paraId="0B5D47CF"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14989489"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Si, ciertamente hay diez sentencias, entre fallos de tutela y constitucionalidad, dentro de las que están las sentencias C-239 de 1997 y C-233 de 2021. En nuestro Estado colombiano es innegable la importancia de la jurisprudencia de la Corte Constitucional; pero caracteriza al Estado de derecho el principio de la división de poderes, de tal manera que el Congreso no pierde su margen de configuración legislativa.</w:t>
      </w:r>
    </w:p>
    <w:p w14:paraId="3C87186C"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25C0BA1B"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 xml:space="preserve">El proyecto en su numeral segundo sobre antecedentes dice </w:t>
      </w:r>
      <w:r w:rsidRPr="00857BA4">
        <w:rPr>
          <w:rFonts w:ascii="Book Antiqua" w:eastAsia="Times New Roman" w:hAnsi="Book Antiqua" w:cs="Arial"/>
          <w:i/>
          <w:color w:val="393939"/>
          <w:sz w:val="24"/>
          <w:szCs w:val="24"/>
        </w:rPr>
        <w:t xml:space="preserve">“se han radicado y tramitado 14 iniciativas legislativas similares, encaminadas a reglamentar el derecho de acceso a la muerte digna”, </w:t>
      </w:r>
      <w:r w:rsidRPr="00857BA4">
        <w:rPr>
          <w:rFonts w:ascii="Book Antiqua" w:eastAsia="Times New Roman" w:hAnsi="Book Antiqua" w:cs="Arial"/>
          <w:color w:val="393939"/>
          <w:sz w:val="24"/>
          <w:szCs w:val="24"/>
        </w:rPr>
        <w:t>pero no prosperaron, no pudieron continuar con su trámite, algunas no superaron el primer debate o se archivaron. Aquí no hay omisiones legislativas, aquí hay decisiones del legislativo de no continuar con proyectos que van en contra de la vida y su preservación.</w:t>
      </w:r>
    </w:p>
    <w:p w14:paraId="6DB07399"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254FB3F6"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r w:rsidRPr="00857BA4">
        <w:rPr>
          <w:rFonts w:ascii="Book Antiqua" w:eastAsia="Times New Roman" w:hAnsi="Book Antiqua" w:cs="Arial"/>
          <w:color w:val="393939"/>
          <w:sz w:val="24"/>
          <w:szCs w:val="24"/>
        </w:rPr>
        <w:t>En la sentencia C-233 de 2021, el salvamento de voto de la magistrada Cristina Pardo Schlesinger es elocuente y significativo. De igual manera el concepto técnico de la Fundación Colombiana de Ética y Bioética -FUCEB-. En la Corte Constitucional las decisiones se toman por votación mayoritaria de sus magistrados; no obstante, aquí estamos en el Congreso de la República en cumplimiento de la función legislativa, y como ya se mencionó, debemos obrar bajo el principio de división de poderes; podemos y debemos salvaguardar la vida, reiteramos, al no existir en nuestra Constitución Política un derecho fundamental a morir dignamente. Veamos:</w:t>
      </w:r>
    </w:p>
    <w:p w14:paraId="1F5C5973"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34E0447B" w14:textId="77777777" w:rsidR="004766B7" w:rsidRPr="00857BA4" w:rsidRDefault="004766B7" w:rsidP="004766B7">
      <w:pPr>
        <w:spacing w:after="0"/>
        <w:jc w:val="both"/>
        <w:textAlignment w:val="baseline"/>
        <w:rPr>
          <w:rFonts w:ascii="Book Antiqua" w:eastAsia="Times New Roman" w:hAnsi="Book Antiqua" w:cs="Arial"/>
          <w:color w:val="393939"/>
          <w:sz w:val="24"/>
          <w:szCs w:val="24"/>
        </w:rPr>
      </w:pPr>
    </w:p>
    <w:p w14:paraId="1AAFE2E6" w14:textId="77777777" w:rsidR="004766B7" w:rsidRPr="00857BA4" w:rsidRDefault="004766B7" w:rsidP="004766B7">
      <w:pPr>
        <w:spacing w:after="0"/>
        <w:jc w:val="both"/>
        <w:textAlignment w:val="baseline"/>
        <w:rPr>
          <w:rFonts w:ascii="Book Antiqua" w:eastAsia="Times New Roman" w:hAnsi="Book Antiqua" w:cs="Arial"/>
          <w:b/>
          <w:color w:val="393939"/>
          <w:sz w:val="24"/>
          <w:szCs w:val="24"/>
        </w:rPr>
      </w:pPr>
      <w:r w:rsidRPr="00857BA4">
        <w:rPr>
          <w:rFonts w:ascii="Book Antiqua" w:eastAsia="Times New Roman" w:hAnsi="Book Antiqua" w:cs="Arial"/>
          <w:b/>
          <w:color w:val="393939"/>
          <w:sz w:val="24"/>
          <w:szCs w:val="24"/>
        </w:rPr>
        <w:t xml:space="preserve">a.  </w:t>
      </w:r>
      <w:r w:rsidRPr="00857BA4">
        <w:rPr>
          <w:rFonts w:ascii="Book Antiqua" w:eastAsia="Times New Roman" w:hAnsi="Book Antiqua" w:cs="Times New Roman"/>
          <w:b/>
          <w:bCs/>
          <w:color w:val="000000"/>
          <w:sz w:val="24"/>
          <w:szCs w:val="24"/>
        </w:rPr>
        <w:t>Salvamento de voto de la magistrada</w:t>
      </w:r>
      <w:r w:rsidRPr="00857BA4">
        <w:rPr>
          <w:rFonts w:ascii="Book Antiqua" w:eastAsia="Times New Roman" w:hAnsi="Book Antiqua" w:cs="Arial"/>
          <w:b/>
          <w:color w:val="393939"/>
          <w:sz w:val="24"/>
          <w:szCs w:val="24"/>
        </w:rPr>
        <w:t xml:space="preserve"> </w:t>
      </w:r>
      <w:r w:rsidRPr="00857BA4">
        <w:rPr>
          <w:rFonts w:ascii="Book Antiqua" w:eastAsia="Times New Roman" w:hAnsi="Book Antiqua" w:cs="Times New Roman"/>
          <w:b/>
          <w:bCs/>
          <w:color w:val="000000"/>
          <w:sz w:val="24"/>
          <w:szCs w:val="24"/>
        </w:rPr>
        <w:t>Cristina Pardo Schlesinger</w:t>
      </w:r>
      <w:r w:rsidRPr="00857BA4">
        <w:rPr>
          <w:rFonts w:ascii="Book Antiqua" w:eastAsia="Times New Roman" w:hAnsi="Book Antiqua" w:cs="Arial"/>
          <w:b/>
          <w:color w:val="393939"/>
          <w:sz w:val="24"/>
          <w:szCs w:val="24"/>
        </w:rPr>
        <w:t xml:space="preserve"> </w:t>
      </w:r>
      <w:r w:rsidRPr="00857BA4">
        <w:rPr>
          <w:rFonts w:ascii="Book Antiqua" w:eastAsia="Times New Roman" w:hAnsi="Book Antiqua" w:cs="Times New Roman"/>
          <w:b/>
          <w:bCs/>
          <w:color w:val="000000"/>
          <w:sz w:val="24"/>
          <w:szCs w:val="24"/>
        </w:rPr>
        <w:t>a la sentencia C-233/21</w:t>
      </w:r>
    </w:p>
    <w:p w14:paraId="68A05E94" w14:textId="77777777" w:rsidR="004766B7" w:rsidRPr="00857BA4" w:rsidRDefault="004766B7" w:rsidP="004766B7">
      <w:pPr>
        <w:shd w:val="clear" w:color="auto" w:fill="FFFFFF"/>
        <w:spacing w:after="0"/>
        <w:ind w:left="709" w:right="51" w:hanging="709"/>
        <w:jc w:val="both"/>
        <w:textAlignment w:val="baseline"/>
        <w:rPr>
          <w:rFonts w:ascii="Book Antiqua" w:eastAsia="Times New Roman" w:hAnsi="Book Antiqua" w:cs="Times New Roman"/>
          <w:i/>
          <w:color w:val="2D2D2D"/>
          <w:sz w:val="24"/>
          <w:szCs w:val="24"/>
        </w:rPr>
      </w:pPr>
      <w:r w:rsidRPr="00857BA4">
        <w:rPr>
          <w:rFonts w:ascii="Book Antiqua" w:eastAsia="Times New Roman" w:hAnsi="Book Antiqua" w:cs="Times New Roman"/>
          <w:b/>
          <w:bCs/>
          <w:i/>
          <w:color w:val="000000"/>
          <w:sz w:val="24"/>
          <w:szCs w:val="24"/>
        </w:rPr>
        <w:t> </w:t>
      </w:r>
    </w:p>
    <w:p w14:paraId="6B59497A"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 xml:space="preserve">“La mayoría consideró también, que se había modificado la comprensión del parámetro de control, en atención al cambio de contexto social, político y económico. Los argumentos para llegar a esta conclusión no fueron contundentes. Acreditar un cambio de contexto político, cuando el Congreso de la República se ha negado reiteradamente a regular la eutanasia durante quince años, debió ser un ejercicio exigente, que en la sentencia se echa de menos... Acreditar un cambio social debería fundarse en encuestas, estadísticas, indicadores objetivos de este cambio social, que debe darse concretamente en Colombia, demostración que la sentencia no se toma en serio. En ella se cita el derecho comparado para mostrar que hay doce países que habrían aceptado una flexibilización en los requisitos para la eutanasia. Considero que estos argumentos no son suficientes. La sentencia ha debido probar que existe un cambio social </w:t>
      </w:r>
      <w:r w:rsidRPr="00857BA4">
        <w:rPr>
          <w:rFonts w:ascii="Book Antiqua" w:hAnsi="Book Antiqua"/>
          <w:i/>
          <w:iCs/>
          <w:sz w:val="24"/>
          <w:szCs w:val="24"/>
        </w:rPr>
        <w:t xml:space="preserve">mayoritario </w:t>
      </w:r>
      <w:r w:rsidRPr="00857BA4">
        <w:rPr>
          <w:rFonts w:ascii="Book Antiqua" w:hAnsi="Book Antiqua"/>
          <w:i/>
          <w:sz w:val="24"/>
          <w:szCs w:val="24"/>
        </w:rPr>
        <w:t xml:space="preserve">en la sociedad colombiana en la concepción sobre la vida humana, que lleve a considerar que se ha modificado la expresión constitucional conforme a la cual </w:t>
      </w:r>
      <w:r w:rsidRPr="00857BA4">
        <w:rPr>
          <w:rFonts w:ascii="Book Antiqua" w:hAnsi="Book Antiqua"/>
          <w:i/>
          <w:iCs/>
          <w:sz w:val="24"/>
          <w:szCs w:val="24"/>
        </w:rPr>
        <w:t>la vida es inviolable</w:t>
      </w:r>
      <w:r w:rsidRPr="00857BA4">
        <w:rPr>
          <w:rFonts w:ascii="Book Antiqua" w:hAnsi="Book Antiqua"/>
          <w:i/>
          <w:sz w:val="24"/>
          <w:szCs w:val="24"/>
        </w:rPr>
        <w:t xml:space="preserve">. </w:t>
      </w:r>
    </w:p>
    <w:p w14:paraId="5B64B4DF"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 xml:space="preserve">Sobre los asuntos de fondo tratados en la sentencia aprobada por la mayoría, estimo que la autonomía, como manifestación de la dignidad humana, es el eje de la argumentación jurídica para defender la existencia del derecho a morir dignamente mediante la práctica del homicidio por piedad o eutanasia. En este contexto, la aceptación del consentimiento sustituto, que </w:t>
      </w:r>
      <w:r w:rsidRPr="00857BA4">
        <w:rPr>
          <w:rFonts w:ascii="Book Antiqua" w:hAnsi="Book Antiqua"/>
          <w:i/>
          <w:sz w:val="24"/>
          <w:szCs w:val="24"/>
        </w:rPr>
        <w:lastRenderedPageBreak/>
        <w:t xml:space="preserve">avaló la mayoría, resulta altamente problemática, porque en tales casos no se cuenta con la manifestación de la voluntad del paciente o sujeto pasivo. Rechazo categóricamente la posibilidad del consentimiento subrogado del paciente, por la flexibilización que implica de las condiciones para propiciar la muerte de otro, porque se erige en una minusvaloración de la vida de las personas más frágiles y porque desconoce el evidente conflicto de intereses presente en los familiares y cuidadores de personas con enfermedades difíciles de atender. </w:t>
      </w:r>
    </w:p>
    <w:p w14:paraId="417BAA0D"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 xml:space="preserve">Por otra parte, la aceptación de la propia eutanasia no es del todo consistente con la defensa de la autonomía, porque el consentimiento al acto eutanásico se suele dar en circunstancias que, por definición, dificultan la libertad del consentimiento. Paradójicamente, basta un consentimiento débil y cuestionable para la más extrema e irreversible de las decisiones posibles. </w:t>
      </w:r>
    </w:p>
    <w:p w14:paraId="403782CC"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Ciertamente la dignidad implica el derecho efectivo a reestablecer la salud, mitigar el dolor e incluso la renuncia al procedimiento médico, que se manifiesta, por una parte, en el derecho al tratamiento curativo y paliativo y, por otra, en el derecho a no ser sometido a tratamientos no consentidos. Pero estimo que ese derecho no puede entenderse extensivo al acto de eutanasia, cuyo objeto inmediato es la terminación de la vida, así sea para evitar el dolor. La razón por la que no es posible entender que la acción eutanásica sea lícita consiste fundamentalmente en que tal acción está naturalmente e inmediatamente dirigida a la terminación de la vida. La orientación directa a acabar la vida no es distinguible de la orientación a eliminar a la persona que vive, es una acción que intenta suprimir a un sujeto digno, es decir, un atentado a la dignidad”.</w:t>
      </w:r>
    </w:p>
    <w:p w14:paraId="2CA1B04A" w14:textId="77777777" w:rsidR="00F940D0" w:rsidRDefault="00F940D0" w:rsidP="004766B7">
      <w:pPr>
        <w:shd w:val="clear" w:color="auto" w:fill="FFFFFF"/>
        <w:spacing w:after="0"/>
        <w:ind w:right="193"/>
        <w:jc w:val="both"/>
        <w:rPr>
          <w:rFonts w:ascii="Book Antiqua" w:eastAsia="Times New Roman" w:hAnsi="Book Antiqua" w:cs="Times New Roman"/>
          <w:b/>
          <w:sz w:val="24"/>
          <w:szCs w:val="24"/>
        </w:rPr>
      </w:pPr>
    </w:p>
    <w:p w14:paraId="51F4DB1A" w14:textId="77777777" w:rsidR="004766B7" w:rsidRPr="00857BA4" w:rsidRDefault="004766B7" w:rsidP="004766B7">
      <w:pPr>
        <w:shd w:val="clear" w:color="auto" w:fill="FFFFFF"/>
        <w:spacing w:after="0"/>
        <w:ind w:right="193"/>
        <w:jc w:val="both"/>
        <w:rPr>
          <w:rFonts w:ascii="Book Antiqua" w:hAnsi="Book Antiqua"/>
          <w:b/>
          <w:sz w:val="24"/>
          <w:szCs w:val="24"/>
        </w:rPr>
      </w:pPr>
      <w:r w:rsidRPr="00857BA4">
        <w:rPr>
          <w:rFonts w:ascii="Book Antiqua" w:eastAsia="Times New Roman" w:hAnsi="Book Antiqua" w:cs="Times New Roman"/>
          <w:b/>
          <w:sz w:val="24"/>
          <w:szCs w:val="24"/>
        </w:rPr>
        <w:t xml:space="preserve">b. </w:t>
      </w:r>
      <w:r w:rsidRPr="00857BA4">
        <w:rPr>
          <w:rFonts w:ascii="Book Antiqua" w:hAnsi="Book Antiqua"/>
          <w:b/>
          <w:sz w:val="24"/>
          <w:szCs w:val="24"/>
        </w:rPr>
        <w:t>Fundación Colombiana de Ética y Bioética FUCEB.</w:t>
      </w:r>
    </w:p>
    <w:p w14:paraId="39865494" w14:textId="77777777" w:rsidR="004766B7" w:rsidRPr="00857BA4" w:rsidRDefault="004766B7" w:rsidP="004766B7">
      <w:pPr>
        <w:shd w:val="clear" w:color="auto" w:fill="FFFFFF"/>
        <w:spacing w:after="0"/>
        <w:ind w:right="193"/>
        <w:jc w:val="both"/>
        <w:rPr>
          <w:rFonts w:ascii="Book Antiqua" w:hAnsi="Book Antiqua"/>
          <w:i/>
          <w:sz w:val="24"/>
          <w:szCs w:val="24"/>
        </w:rPr>
      </w:pPr>
    </w:p>
    <w:p w14:paraId="71678D53" w14:textId="77777777" w:rsidR="004766B7" w:rsidRPr="00857BA4" w:rsidRDefault="004766B7" w:rsidP="004766B7">
      <w:pPr>
        <w:shd w:val="clear" w:color="auto" w:fill="FFFFFF"/>
        <w:spacing w:after="0"/>
        <w:ind w:right="193"/>
        <w:jc w:val="both"/>
        <w:rPr>
          <w:rFonts w:ascii="Book Antiqua" w:hAnsi="Book Antiqua"/>
          <w:i/>
          <w:sz w:val="24"/>
          <w:szCs w:val="24"/>
        </w:rPr>
      </w:pPr>
      <w:r w:rsidRPr="00857BA4">
        <w:rPr>
          <w:rFonts w:ascii="Book Antiqua" w:hAnsi="Book Antiqua"/>
          <w:i/>
          <w:sz w:val="24"/>
          <w:szCs w:val="24"/>
        </w:rPr>
        <w:t>“Es importante tener en cuenta que cuando un Estado acepta la eutanasia está señalando a sus miembros que, contra toda lógica, da más importancia a la sensación de sufrimiento, el deseo de morir que esto pueda causar y a los sentimientos de compasión con los que algunos pretenden decir que es justificable la destrucción de un ser humano. Prohibir la destrucción de cualquier ser humano, contribuye a que la actitud de los miembros del Estado sea de incondicionalidad en el respeto de todo ser humano en su integridad, salud, vida y desarrollo, y de aplicación de los principios de bien común, subsidiaridad y solidaridad, para que el ser humano enfermo y quienes lo rodean, se cuiden y sean cuidados del modo más acorde a su dignidad y al pleno desarrollo personal.</w:t>
      </w:r>
    </w:p>
    <w:p w14:paraId="2CA5A802" w14:textId="77777777" w:rsidR="004766B7" w:rsidRPr="00857BA4" w:rsidRDefault="004766B7" w:rsidP="004766B7">
      <w:pPr>
        <w:shd w:val="clear" w:color="auto" w:fill="FFFFFF"/>
        <w:spacing w:after="0"/>
        <w:ind w:right="193"/>
        <w:jc w:val="both"/>
        <w:rPr>
          <w:rFonts w:ascii="Book Antiqua" w:hAnsi="Book Antiqua"/>
          <w:i/>
          <w:sz w:val="24"/>
          <w:szCs w:val="24"/>
        </w:rPr>
      </w:pPr>
      <w:r w:rsidRPr="00857BA4">
        <w:rPr>
          <w:rFonts w:ascii="Book Antiqua" w:hAnsi="Book Antiqua"/>
          <w:i/>
          <w:sz w:val="24"/>
          <w:szCs w:val="24"/>
        </w:rPr>
        <w:t>(…)</w:t>
      </w:r>
    </w:p>
    <w:p w14:paraId="6A2B1C22"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 xml:space="preserve">La eutanasia es una acción que tiene como efecto inmediato matar, en este acaso a seres humanos que, a causa del sufrimiento, están en situación de especial fragilidad, que en ocasiones expresan su deseo de morir, pero que cuando se les trata con cariño y poniendo </w:t>
      </w:r>
      <w:r w:rsidRPr="00857BA4">
        <w:rPr>
          <w:rFonts w:ascii="Book Antiqua" w:hAnsi="Book Antiqua"/>
          <w:i/>
          <w:sz w:val="24"/>
          <w:szCs w:val="24"/>
        </w:rPr>
        <w:lastRenderedPageBreak/>
        <w:t>todos los medios lícitos para aliviar el sufrimiento, suelen desistir de esa idea. Aprenden que, incluso el sufrimiento inevitable, puede ser ocasión para crecer como personas, ocupándose, cuando la situación física y psíquica lo permite, en conocerse mejor, hallar el sentido de su vida y, por tanto, de todo lo que les sucede incluso el sufrimiento, y poner por obra su razón de ser, nunca deducible plenamente con sus meras concepciones, que no son suficientes si se comparan con el bien mayor en que ellos consisten en su unidad y totalidad, y durante la totalidad de su existencia.</w:t>
      </w:r>
    </w:p>
    <w:p w14:paraId="12E3222A"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w:t>
      </w:r>
    </w:p>
    <w:p w14:paraId="2EA2689F" w14:textId="77777777" w:rsidR="004766B7" w:rsidRPr="00857BA4" w:rsidRDefault="004766B7" w:rsidP="004766B7">
      <w:pPr>
        <w:jc w:val="both"/>
        <w:rPr>
          <w:rFonts w:ascii="Book Antiqua" w:hAnsi="Book Antiqua"/>
          <w:i/>
          <w:sz w:val="24"/>
          <w:szCs w:val="24"/>
        </w:rPr>
      </w:pPr>
      <w:r w:rsidRPr="00857BA4">
        <w:rPr>
          <w:rFonts w:ascii="Book Antiqua" w:hAnsi="Book Antiqua"/>
          <w:i/>
          <w:sz w:val="24"/>
          <w:szCs w:val="24"/>
        </w:rPr>
        <w:t>La destrucción deliberada de un ser humano no deja de serlo, de modo independiente a si éste la consiente y a las demás circunstancias en que se causa la aniquilación de su cuerpo. En el mundo conocido, solo existe dignidad humana en todo cuerpo humano vivo; cada uno posee exclusivamente la inherente humanidad propia, por lo que no existe el derecho a que sea violentada y es inenajenable durante su ciclo vital completo: no hay cuerpo humano que no sea un ser humano y no hay ser humano que no sea un cuerpo humano.</w:t>
      </w:r>
    </w:p>
    <w:p w14:paraId="27945A8E" w14:textId="77777777" w:rsidR="004766B7" w:rsidRPr="00317468" w:rsidRDefault="004766B7" w:rsidP="004766B7">
      <w:pPr>
        <w:jc w:val="both"/>
        <w:rPr>
          <w:rFonts w:ascii="Book Antiqua" w:hAnsi="Book Antiqua"/>
          <w:i/>
          <w:sz w:val="24"/>
          <w:szCs w:val="24"/>
        </w:rPr>
      </w:pPr>
      <w:r w:rsidRPr="00857BA4">
        <w:rPr>
          <w:rFonts w:ascii="Book Antiqua" w:hAnsi="Book Antiqua"/>
          <w:i/>
          <w:sz w:val="24"/>
          <w:szCs w:val="24"/>
        </w:rPr>
        <w:t xml:space="preserve">En esto cualquier excepción es un acto de violencia contra la víctima que es destruida con la eutanasia, aunque sea un acto consentido por ella: el consentimiento no es un bien más perfecto que el ser humano que consiente. El derecho no se fundamenta en el pensamiento, sufrimiento, sentimiento, consentimiento u otro fenómeno o acto humano, sino en el bien o perfección en que consiste cada ser humano, que suele ser reconocido con la palabra Dignidad. Que un ser humano sea ignorante respecto al bien en que consisten él y otros de su especie, no le da derecho a destruirse ni a excluir de la vida a otros, ni con la práctica de la eutanasia, ni de ningún otro modo. Valorar el propio deseo más que lo que en realidad es un derecho fundamentado en la perfección en que consiste un ser humano, es incultura y se soluciona con el desarrollo corporal y espiritual que cada uno tenga capacidad de alcanzar, y todos deben contribuir a protegerse de los que no tienen esa capacidad por problemas mentales u otras causas, mientras se intenta, con toda diligencia y justicia, ponerles solución: física, afectiva, intelectual, volitiva, </w:t>
      </w:r>
      <w:proofErr w:type="spellStart"/>
      <w:r w:rsidRPr="00857BA4">
        <w:rPr>
          <w:rFonts w:ascii="Book Antiqua" w:hAnsi="Book Antiqua"/>
          <w:i/>
          <w:sz w:val="24"/>
          <w:szCs w:val="24"/>
        </w:rPr>
        <w:t>etc</w:t>
      </w:r>
      <w:proofErr w:type="spellEnd"/>
      <w:r w:rsidRPr="00857BA4">
        <w:rPr>
          <w:rFonts w:ascii="Book Antiqua" w:hAnsi="Book Antiqua"/>
          <w:i/>
          <w:sz w:val="24"/>
          <w:szCs w:val="24"/>
        </w:rPr>
        <w:t>”.</w:t>
      </w:r>
    </w:p>
    <w:p w14:paraId="0162B54F" w14:textId="77777777" w:rsidR="004766B7" w:rsidRDefault="004766B7" w:rsidP="004766B7">
      <w:pPr>
        <w:jc w:val="both"/>
        <w:rPr>
          <w:rFonts w:ascii="Book Antiqua" w:hAnsi="Book Antiqua"/>
          <w:i/>
          <w:sz w:val="24"/>
          <w:szCs w:val="24"/>
        </w:rPr>
      </w:pPr>
      <w:r w:rsidRPr="00857BA4">
        <w:rPr>
          <w:rFonts w:ascii="Book Antiqua" w:hAnsi="Book Antiqua"/>
          <w:sz w:val="24"/>
          <w:szCs w:val="24"/>
        </w:rPr>
        <w:t>En ese orden de ideas, como lo dice Fundación Colombiana de Ética y Bioética FUCEB “</w:t>
      </w:r>
      <w:r w:rsidRPr="00857BA4">
        <w:rPr>
          <w:rFonts w:ascii="Book Antiqua" w:hAnsi="Book Antiqua"/>
          <w:i/>
          <w:sz w:val="24"/>
          <w:szCs w:val="24"/>
        </w:rPr>
        <w:t xml:space="preserve">Con los avances de la medicina, la mayoría de los sufrimientos se pueden evitar o al menos menguar, y también se puede hacer tratamiento psicológico y psiquiátrico, además de ayudar a la persona a descubrir el sentido de su propio ser, sufrimiento y vida. En las escasas situaciones extremas en que no es posible quitar un sufrimiento intenso, se puede sedar al paciente sin que esto suponga adelantar o atrasar su muerte, sino aliviar su dolor, respetando su humanidad y la capacidad biológica y espiritual para reaccionar a los estímulos con los que se cuida del modo más completo posible, al ser humano enfermo y a su familia, en </w:t>
      </w:r>
      <w:r w:rsidRPr="00857BA4">
        <w:rPr>
          <w:rFonts w:ascii="Book Antiqua" w:hAnsi="Book Antiqua"/>
          <w:i/>
          <w:sz w:val="24"/>
          <w:szCs w:val="24"/>
        </w:rPr>
        <w:lastRenderedPageBreak/>
        <w:t xml:space="preserve">lo que depende de la situación de apoyo que el enfermo y ésta </w:t>
      </w:r>
      <w:proofErr w:type="spellStart"/>
      <w:r w:rsidRPr="00857BA4">
        <w:rPr>
          <w:rFonts w:ascii="Book Antiqua" w:hAnsi="Book Antiqua"/>
          <w:i/>
          <w:sz w:val="24"/>
          <w:szCs w:val="24"/>
        </w:rPr>
        <w:t>requiren</w:t>
      </w:r>
      <w:proofErr w:type="spellEnd"/>
      <w:r w:rsidRPr="00857BA4">
        <w:rPr>
          <w:rFonts w:ascii="Book Antiqua" w:hAnsi="Book Antiqua"/>
          <w:i/>
          <w:sz w:val="24"/>
          <w:szCs w:val="24"/>
        </w:rPr>
        <w:t xml:space="preserve"> para la mejor salud de todos, en lo que es posible según el circunstancias de cada uno”</w:t>
      </w:r>
      <w:r w:rsidRPr="00857BA4">
        <w:rPr>
          <w:rStyle w:val="Refdenotaalpie"/>
          <w:rFonts w:ascii="Book Antiqua" w:hAnsi="Book Antiqua"/>
          <w:i/>
          <w:sz w:val="24"/>
          <w:szCs w:val="24"/>
        </w:rPr>
        <w:footnoteReference w:id="2"/>
      </w:r>
      <w:r w:rsidRPr="00857BA4">
        <w:rPr>
          <w:rFonts w:ascii="Book Antiqua" w:hAnsi="Book Antiqua"/>
          <w:i/>
          <w:sz w:val="24"/>
          <w:szCs w:val="24"/>
        </w:rPr>
        <w:t>.</w:t>
      </w:r>
    </w:p>
    <w:p w14:paraId="43499EAE" w14:textId="77777777" w:rsidR="00F940D0" w:rsidRDefault="00F940D0" w:rsidP="004766B7">
      <w:pPr>
        <w:shd w:val="clear" w:color="auto" w:fill="FFFFFF"/>
        <w:spacing w:after="0"/>
        <w:ind w:right="193"/>
        <w:jc w:val="both"/>
        <w:rPr>
          <w:rFonts w:ascii="Book Antiqua" w:eastAsia="Times New Roman" w:hAnsi="Book Antiqua" w:cs="Times New Roman"/>
          <w:b/>
          <w:sz w:val="24"/>
          <w:szCs w:val="24"/>
        </w:rPr>
      </w:pPr>
    </w:p>
    <w:p w14:paraId="7A595F8F" w14:textId="77777777" w:rsidR="004766B7" w:rsidRPr="00857BA4" w:rsidRDefault="004766B7" w:rsidP="004766B7">
      <w:pPr>
        <w:shd w:val="clear" w:color="auto" w:fill="FFFFFF"/>
        <w:spacing w:after="0"/>
        <w:ind w:right="193"/>
        <w:jc w:val="both"/>
        <w:rPr>
          <w:rFonts w:ascii="Book Antiqua" w:hAnsi="Book Antiqua"/>
          <w:b/>
          <w:sz w:val="24"/>
          <w:szCs w:val="24"/>
        </w:rPr>
      </w:pPr>
      <w:r w:rsidRPr="00857BA4">
        <w:rPr>
          <w:rFonts w:ascii="Book Antiqua" w:eastAsia="Times New Roman" w:hAnsi="Book Antiqua" w:cs="Times New Roman"/>
          <w:b/>
          <w:sz w:val="24"/>
          <w:szCs w:val="24"/>
        </w:rPr>
        <w:t xml:space="preserve">3. Cuidados paliativos como medida pro vida </w:t>
      </w:r>
    </w:p>
    <w:p w14:paraId="51B3F5CC" w14:textId="77777777" w:rsidR="004766B7" w:rsidRPr="00857BA4" w:rsidRDefault="004766B7" w:rsidP="004766B7">
      <w:pPr>
        <w:shd w:val="clear" w:color="auto" w:fill="FFFFFF"/>
        <w:spacing w:after="0"/>
        <w:ind w:right="193"/>
        <w:jc w:val="both"/>
        <w:rPr>
          <w:rFonts w:ascii="Book Antiqua" w:hAnsi="Book Antiqua"/>
          <w:sz w:val="24"/>
          <w:szCs w:val="24"/>
        </w:rPr>
      </w:pPr>
    </w:p>
    <w:p w14:paraId="7FE96EE5" w14:textId="77777777" w:rsidR="004766B7" w:rsidRPr="00857BA4" w:rsidRDefault="004766B7" w:rsidP="004766B7">
      <w:pPr>
        <w:shd w:val="clear" w:color="auto" w:fill="FFFFFF"/>
        <w:spacing w:after="0"/>
        <w:ind w:right="193"/>
        <w:jc w:val="both"/>
        <w:rPr>
          <w:rFonts w:ascii="Book Antiqua" w:hAnsi="Book Antiqua"/>
          <w:sz w:val="24"/>
          <w:szCs w:val="24"/>
        </w:rPr>
      </w:pPr>
      <w:r w:rsidRPr="00857BA4">
        <w:rPr>
          <w:rFonts w:ascii="Book Antiqua" w:hAnsi="Book Antiqua"/>
          <w:sz w:val="24"/>
          <w:szCs w:val="24"/>
        </w:rPr>
        <w:t>En defensa del derecho a la vida, debe considerarse que los cuidados paliativos son una solución ética acorde con la dignidad humana, en el sentido en que el Estado garantice los recursos económicos y la normativa para regularizar en mayor medida el portafolio de cuidados paliativos.</w:t>
      </w:r>
    </w:p>
    <w:p w14:paraId="39503496" w14:textId="77777777" w:rsidR="004766B7" w:rsidRDefault="004766B7" w:rsidP="004766B7">
      <w:pPr>
        <w:shd w:val="clear" w:color="auto" w:fill="FFFFFF"/>
        <w:spacing w:after="0"/>
        <w:ind w:right="193"/>
        <w:jc w:val="both"/>
        <w:rPr>
          <w:rFonts w:ascii="Book Antiqua" w:hAnsi="Book Antiqua"/>
          <w:sz w:val="24"/>
          <w:szCs w:val="24"/>
        </w:rPr>
      </w:pPr>
    </w:p>
    <w:p w14:paraId="54FE3FD3" w14:textId="77777777" w:rsidR="004766B7" w:rsidRDefault="004766B7" w:rsidP="004766B7">
      <w:pPr>
        <w:shd w:val="clear" w:color="auto" w:fill="FFFFFF"/>
        <w:spacing w:after="0"/>
        <w:ind w:right="193"/>
        <w:jc w:val="both"/>
        <w:rPr>
          <w:rFonts w:ascii="Book Antiqua" w:hAnsi="Book Antiqua"/>
          <w:sz w:val="24"/>
          <w:szCs w:val="24"/>
        </w:rPr>
      </w:pPr>
      <w:r>
        <w:rPr>
          <w:rFonts w:ascii="Book Antiqua" w:hAnsi="Book Antiqua"/>
          <w:sz w:val="24"/>
          <w:szCs w:val="24"/>
        </w:rPr>
        <w:t>P</w:t>
      </w:r>
      <w:r w:rsidRPr="00857BA4">
        <w:rPr>
          <w:rFonts w:ascii="Book Antiqua" w:hAnsi="Book Antiqua"/>
          <w:sz w:val="24"/>
          <w:szCs w:val="24"/>
        </w:rPr>
        <w:t>ara preservar la vida digna lo que se debe mejorar y garantizar en forma plena son los cuidados paliativos, cuya prestación eficiente se de</w:t>
      </w:r>
      <w:r>
        <w:rPr>
          <w:rFonts w:ascii="Book Antiqua" w:hAnsi="Book Antiqua"/>
          <w:sz w:val="24"/>
          <w:szCs w:val="24"/>
        </w:rPr>
        <w:t>be dar</w:t>
      </w:r>
      <w:r w:rsidRPr="00857BA4">
        <w:rPr>
          <w:rFonts w:ascii="Book Antiqua" w:hAnsi="Book Antiqua"/>
          <w:sz w:val="24"/>
          <w:szCs w:val="24"/>
        </w:rPr>
        <w:t xml:space="preserve"> en las diferentes ciudades del país y no solo en Bogotá u otras grandes capitales, así como mejorar la formación y especialización de los médicos en esta área.  </w:t>
      </w:r>
    </w:p>
    <w:p w14:paraId="38E3599E" w14:textId="77777777" w:rsidR="004766B7" w:rsidRDefault="004766B7" w:rsidP="004766B7">
      <w:pPr>
        <w:shd w:val="clear" w:color="auto" w:fill="FFFFFF"/>
        <w:spacing w:after="0"/>
        <w:ind w:right="193"/>
        <w:jc w:val="both"/>
        <w:rPr>
          <w:rFonts w:ascii="Book Antiqua" w:hAnsi="Book Antiqua"/>
          <w:sz w:val="24"/>
          <w:szCs w:val="24"/>
        </w:rPr>
      </w:pPr>
    </w:p>
    <w:p w14:paraId="04F1E5AF" w14:textId="77777777" w:rsidR="004766B7" w:rsidRPr="00857BA4" w:rsidRDefault="004766B7" w:rsidP="004766B7">
      <w:pPr>
        <w:shd w:val="clear" w:color="auto" w:fill="FFFFFF"/>
        <w:spacing w:after="0"/>
        <w:ind w:right="193"/>
        <w:jc w:val="both"/>
        <w:rPr>
          <w:rFonts w:ascii="Book Antiqua" w:hAnsi="Book Antiqua"/>
          <w:sz w:val="24"/>
          <w:szCs w:val="24"/>
        </w:rPr>
      </w:pPr>
      <w:r w:rsidRPr="00857BA4">
        <w:rPr>
          <w:rFonts w:ascii="Book Antiqua" w:hAnsi="Book Antiqua"/>
          <w:sz w:val="24"/>
          <w:szCs w:val="24"/>
        </w:rPr>
        <w:t>El proyecto de Ley, en su numeral 4º “JUSTIFICACIÓN DEL PROYECTO”, plantea el “derecho a morir” como derecho autónomo e independiente que le permite a la persona tener el “control” y tomar todas las decisiones.</w:t>
      </w:r>
      <w:r>
        <w:rPr>
          <w:rFonts w:ascii="Book Antiqua" w:hAnsi="Book Antiqua"/>
          <w:sz w:val="24"/>
          <w:szCs w:val="24"/>
        </w:rPr>
        <w:t xml:space="preserve"> </w:t>
      </w:r>
      <w:r w:rsidRPr="00857BA4">
        <w:rPr>
          <w:rFonts w:ascii="Book Antiqua" w:hAnsi="Book Antiqua"/>
          <w:sz w:val="24"/>
          <w:szCs w:val="24"/>
        </w:rPr>
        <w:t>Afirma que este derecho comprende tres dimensiones:</w:t>
      </w:r>
      <w:r>
        <w:rPr>
          <w:rFonts w:ascii="Book Antiqua" w:hAnsi="Book Antiqua"/>
          <w:sz w:val="24"/>
          <w:szCs w:val="24"/>
        </w:rPr>
        <w:t xml:space="preserve"> 1. </w:t>
      </w:r>
      <w:r w:rsidRPr="00857BA4">
        <w:rPr>
          <w:rFonts w:ascii="Book Antiqua" w:hAnsi="Book Antiqua"/>
          <w:sz w:val="24"/>
          <w:szCs w:val="24"/>
        </w:rPr>
        <w:t>Los cuidados paliativos</w:t>
      </w:r>
      <w:r>
        <w:rPr>
          <w:rFonts w:ascii="Book Antiqua" w:hAnsi="Book Antiqua"/>
          <w:sz w:val="24"/>
          <w:szCs w:val="24"/>
        </w:rPr>
        <w:t xml:space="preserve">; 2 </w:t>
      </w:r>
      <w:r w:rsidRPr="00857BA4">
        <w:rPr>
          <w:rFonts w:ascii="Book Antiqua" w:hAnsi="Book Antiqua"/>
          <w:sz w:val="24"/>
          <w:szCs w:val="24"/>
        </w:rPr>
        <w:t>La adecuación o abandono del esfuerzo terapéutico y</w:t>
      </w:r>
      <w:r>
        <w:rPr>
          <w:rFonts w:ascii="Book Antiqua" w:hAnsi="Book Antiqua"/>
          <w:sz w:val="24"/>
          <w:szCs w:val="24"/>
        </w:rPr>
        <w:t xml:space="preserve"> 3. </w:t>
      </w:r>
      <w:r w:rsidRPr="00857BA4">
        <w:rPr>
          <w:rFonts w:ascii="Book Antiqua" w:hAnsi="Book Antiqua"/>
          <w:sz w:val="24"/>
          <w:szCs w:val="24"/>
        </w:rPr>
        <w:t>La muerte médicamente asistida, también conocida como eutanasia.</w:t>
      </w:r>
    </w:p>
    <w:p w14:paraId="4F051189" w14:textId="77777777" w:rsidR="004766B7" w:rsidRDefault="004766B7" w:rsidP="004766B7">
      <w:pPr>
        <w:shd w:val="clear" w:color="auto" w:fill="FFFFFF"/>
        <w:spacing w:after="0"/>
        <w:ind w:right="193"/>
        <w:jc w:val="both"/>
        <w:rPr>
          <w:rFonts w:ascii="Book Antiqua" w:hAnsi="Book Antiqua"/>
          <w:sz w:val="24"/>
          <w:szCs w:val="24"/>
        </w:rPr>
      </w:pPr>
    </w:p>
    <w:p w14:paraId="107E9FFF" w14:textId="77777777" w:rsidR="004766B7" w:rsidRDefault="004766B7" w:rsidP="004766B7">
      <w:pPr>
        <w:shd w:val="clear" w:color="auto" w:fill="FFFFFF"/>
        <w:spacing w:after="0"/>
        <w:ind w:right="193"/>
        <w:jc w:val="both"/>
        <w:rPr>
          <w:rFonts w:ascii="Book Antiqua" w:hAnsi="Book Antiqua"/>
          <w:sz w:val="24"/>
          <w:szCs w:val="24"/>
        </w:rPr>
      </w:pPr>
      <w:r w:rsidRPr="0073569F">
        <w:rPr>
          <w:rFonts w:ascii="Book Antiqua" w:hAnsi="Book Antiqua"/>
          <w:sz w:val="24"/>
          <w:szCs w:val="24"/>
        </w:rPr>
        <w:t xml:space="preserve">De las tres dimensiones justificadas para el proyecto, se hace referencia a la primera:  </w:t>
      </w:r>
      <w:r w:rsidRPr="00D177E8">
        <w:rPr>
          <w:rFonts w:ascii="Book Antiqua" w:hAnsi="Book Antiqua"/>
          <w:b/>
          <w:bCs/>
          <w:sz w:val="24"/>
          <w:szCs w:val="24"/>
        </w:rPr>
        <w:t>los cuidados paliativos</w:t>
      </w:r>
      <w:r w:rsidRPr="0073569F">
        <w:rPr>
          <w:rFonts w:ascii="Book Antiqua" w:hAnsi="Book Antiqua"/>
          <w:sz w:val="24"/>
          <w:szCs w:val="24"/>
        </w:rPr>
        <w:t>.  Como justificación del proyecto es necesario tener en consideración qué implica y qué comprende el concepto de cuidado paliativo.</w:t>
      </w:r>
    </w:p>
    <w:p w14:paraId="64CCAA57" w14:textId="77777777" w:rsidR="004766B7" w:rsidRPr="0073569F" w:rsidRDefault="004766B7" w:rsidP="004766B7">
      <w:pPr>
        <w:shd w:val="clear" w:color="auto" w:fill="FFFFFF"/>
        <w:spacing w:after="0"/>
        <w:ind w:right="193"/>
        <w:jc w:val="both"/>
        <w:rPr>
          <w:rFonts w:ascii="Book Antiqua" w:hAnsi="Book Antiqua"/>
          <w:sz w:val="24"/>
          <w:szCs w:val="24"/>
        </w:rPr>
      </w:pPr>
    </w:p>
    <w:p w14:paraId="1AAFA7FF" w14:textId="77777777" w:rsidR="004766B7" w:rsidRPr="0073569F" w:rsidRDefault="004766B7" w:rsidP="004766B7">
      <w:pPr>
        <w:shd w:val="clear" w:color="auto" w:fill="FFFFFF"/>
        <w:spacing w:after="0"/>
        <w:ind w:right="193"/>
        <w:jc w:val="both"/>
        <w:rPr>
          <w:rFonts w:ascii="Book Antiqua" w:hAnsi="Book Antiqua"/>
          <w:sz w:val="24"/>
          <w:szCs w:val="24"/>
        </w:rPr>
      </w:pPr>
      <w:r w:rsidRPr="0073569F">
        <w:rPr>
          <w:rFonts w:ascii="Book Antiqua" w:hAnsi="Book Antiqua"/>
          <w:sz w:val="24"/>
          <w:szCs w:val="24"/>
        </w:rPr>
        <w:t>El ABECE</w:t>
      </w:r>
      <w:r>
        <w:rPr>
          <w:rStyle w:val="Refdenotaalpie"/>
          <w:sz w:val="24"/>
          <w:szCs w:val="24"/>
        </w:rPr>
        <w:footnoteReference w:id="3"/>
      </w:r>
      <w:r w:rsidRPr="0073569F">
        <w:rPr>
          <w:rFonts w:ascii="Book Antiqua" w:hAnsi="Book Antiqua"/>
          <w:sz w:val="24"/>
          <w:szCs w:val="24"/>
        </w:rPr>
        <w:t xml:space="preserve"> publicado por el Ministerio de Salud, año 2018, además de señalar, qué son los cuidados paliativos, responde el por qué son importantes los cuidados paliativos: porque “mejoran la calidad de vida de los pacientes”, desde el momento del diagnóstico hasta el final de la vida.</w:t>
      </w:r>
    </w:p>
    <w:p w14:paraId="5FCC93B0" w14:textId="77777777" w:rsidR="004766B7" w:rsidRDefault="004766B7" w:rsidP="004766B7">
      <w:pPr>
        <w:shd w:val="clear" w:color="auto" w:fill="FFFFFF"/>
        <w:spacing w:after="0"/>
        <w:ind w:right="193"/>
        <w:jc w:val="both"/>
        <w:rPr>
          <w:rFonts w:ascii="Book Antiqua" w:hAnsi="Book Antiqua"/>
          <w:sz w:val="24"/>
          <w:szCs w:val="24"/>
        </w:rPr>
      </w:pPr>
    </w:p>
    <w:p w14:paraId="464AADAA" w14:textId="77777777" w:rsidR="004766B7" w:rsidRPr="0073569F" w:rsidRDefault="004766B7" w:rsidP="004766B7">
      <w:pPr>
        <w:shd w:val="clear" w:color="auto" w:fill="FFFFFF"/>
        <w:spacing w:after="0"/>
        <w:ind w:right="193"/>
        <w:jc w:val="both"/>
        <w:rPr>
          <w:rFonts w:ascii="Book Antiqua" w:hAnsi="Book Antiqua"/>
          <w:sz w:val="24"/>
          <w:szCs w:val="24"/>
        </w:rPr>
      </w:pPr>
      <w:r w:rsidRPr="0073569F">
        <w:rPr>
          <w:rFonts w:ascii="Book Antiqua" w:hAnsi="Book Antiqua"/>
          <w:sz w:val="24"/>
          <w:szCs w:val="24"/>
        </w:rPr>
        <w:lastRenderedPageBreak/>
        <w:t>Pero, además de conocer que son y el por qué son importantes, es necesario abordarlo desde la dimensión que plantea el proyecto de Ley Estatutaria, porque la misma justificación que se lee en el proyecto de Ley, afirma que la “inacción” del Legislativo, impide a la ciudadanía en general el acceso al derecho, por un lado, y a los profesionales de la salud por otro lado, a garantizar el goce efectivo de la “muerte digna”.</w:t>
      </w:r>
    </w:p>
    <w:p w14:paraId="39F52DB9" w14:textId="77777777" w:rsidR="004766B7" w:rsidRDefault="004766B7" w:rsidP="004766B7">
      <w:pPr>
        <w:shd w:val="clear" w:color="auto" w:fill="FFFFFF"/>
        <w:spacing w:after="0"/>
        <w:ind w:right="193"/>
        <w:jc w:val="both"/>
        <w:rPr>
          <w:rFonts w:ascii="Book Antiqua" w:hAnsi="Book Antiqua"/>
          <w:sz w:val="24"/>
          <w:szCs w:val="24"/>
        </w:rPr>
      </w:pPr>
    </w:p>
    <w:p w14:paraId="0DE7D951" w14:textId="77777777" w:rsidR="004766B7" w:rsidRPr="00857BA4" w:rsidRDefault="004766B7" w:rsidP="004766B7">
      <w:pPr>
        <w:shd w:val="clear" w:color="auto" w:fill="FFFFFF"/>
        <w:spacing w:after="0"/>
        <w:ind w:right="193"/>
        <w:jc w:val="both"/>
        <w:rPr>
          <w:rFonts w:ascii="Book Antiqua" w:hAnsi="Book Antiqua"/>
          <w:sz w:val="24"/>
          <w:szCs w:val="24"/>
        </w:rPr>
      </w:pPr>
      <w:r w:rsidRPr="0073569F">
        <w:rPr>
          <w:rFonts w:ascii="Book Antiqua" w:hAnsi="Book Antiqua"/>
          <w:sz w:val="24"/>
          <w:szCs w:val="24"/>
        </w:rPr>
        <w:t>Sin embargo,</w:t>
      </w:r>
      <w:r>
        <w:rPr>
          <w:rFonts w:ascii="Book Antiqua" w:hAnsi="Book Antiqua"/>
          <w:sz w:val="24"/>
          <w:szCs w:val="24"/>
        </w:rPr>
        <w:t xml:space="preserve"> los cuidados paliativos en el p</w:t>
      </w:r>
      <w:r w:rsidRPr="0073569F">
        <w:rPr>
          <w:rFonts w:ascii="Book Antiqua" w:hAnsi="Book Antiqua"/>
          <w:sz w:val="24"/>
          <w:szCs w:val="24"/>
        </w:rPr>
        <w:t>aís, no deberían ser estudiados como justificación al supuesto goce efectivo de una muerte digna. La inacción que argumenta el proyecto bien puede ser aplicada al observar la asimetría que existe en la oferta en ese tipo de servicios en Colombia.  En ese sentido, el Observatorio de Cuidados Paliativos (OCCP)</w:t>
      </w:r>
      <w:r>
        <w:rPr>
          <w:rStyle w:val="Refdenotaalpie"/>
          <w:sz w:val="24"/>
          <w:szCs w:val="24"/>
        </w:rPr>
        <w:footnoteReference w:id="4"/>
      </w:r>
      <w:r w:rsidRPr="0073569F">
        <w:rPr>
          <w:rFonts w:ascii="Book Antiqua" w:hAnsi="Book Antiqua"/>
          <w:sz w:val="24"/>
          <w:szCs w:val="24"/>
        </w:rPr>
        <w:t xml:space="preserve"> asegura que solo 3 de cada 10 pacientes que requieren atención de ese tipo la reciben de manera adecuada.</w:t>
      </w:r>
    </w:p>
    <w:p w14:paraId="1288BA5E" w14:textId="77777777" w:rsidR="004766B7" w:rsidRDefault="004766B7" w:rsidP="004766B7">
      <w:pPr>
        <w:shd w:val="clear" w:color="auto" w:fill="FFFFFF"/>
        <w:spacing w:after="0"/>
        <w:ind w:right="193"/>
        <w:jc w:val="both"/>
        <w:rPr>
          <w:rFonts w:ascii="Book Antiqua" w:hAnsi="Book Antiqua"/>
          <w:sz w:val="24"/>
          <w:szCs w:val="24"/>
        </w:rPr>
      </w:pPr>
    </w:p>
    <w:p w14:paraId="226255A2" w14:textId="77777777" w:rsidR="004766B7" w:rsidRPr="00857BA4" w:rsidRDefault="004766B7" w:rsidP="004766B7">
      <w:pPr>
        <w:shd w:val="clear" w:color="auto" w:fill="FFFFFF"/>
        <w:spacing w:after="0"/>
        <w:ind w:right="193"/>
        <w:jc w:val="both"/>
        <w:rPr>
          <w:rFonts w:ascii="Book Antiqua" w:hAnsi="Book Antiqua"/>
          <w:sz w:val="24"/>
          <w:szCs w:val="24"/>
        </w:rPr>
      </w:pPr>
      <w:r w:rsidRPr="00857BA4">
        <w:rPr>
          <w:rFonts w:ascii="Book Antiqua" w:hAnsi="Book Antiqua"/>
          <w:sz w:val="24"/>
          <w:szCs w:val="24"/>
        </w:rPr>
        <w:t xml:space="preserve">Adicionalmente, es importante resaltar que el legislador debería apoyarse en todo el personal médico, psicólogos, trabajadores sociales y demás profesionales que han vivido estas situaciones para que sean ellos en plenaria del Congreso de la Republica quienes expongan su punto de vista técnico puesto que éticamente la función de este personal médico es salvar vidas y no poner fin a estas. </w:t>
      </w:r>
    </w:p>
    <w:p w14:paraId="317BE525" w14:textId="77777777" w:rsidR="004766B7" w:rsidRPr="00857BA4" w:rsidRDefault="004766B7" w:rsidP="004766B7">
      <w:pPr>
        <w:shd w:val="clear" w:color="auto" w:fill="FFFFFF"/>
        <w:spacing w:after="0"/>
        <w:ind w:right="193"/>
        <w:jc w:val="both"/>
        <w:rPr>
          <w:rFonts w:ascii="Book Antiqua" w:hAnsi="Book Antiqua"/>
          <w:sz w:val="24"/>
          <w:szCs w:val="24"/>
        </w:rPr>
      </w:pPr>
    </w:p>
    <w:p w14:paraId="7912863E" w14:textId="77777777" w:rsidR="004766B7" w:rsidRPr="00857BA4" w:rsidRDefault="004766B7" w:rsidP="004766B7">
      <w:pPr>
        <w:shd w:val="clear" w:color="auto" w:fill="FFFFFF"/>
        <w:spacing w:after="0"/>
        <w:ind w:right="193"/>
        <w:jc w:val="both"/>
        <w:rPr>
          <w:rFonts w:ascii="Book Antiqua" w:hAnsi="Book Antiqua"/>
          <w:sz w:val="24"/>
          <w:szCs w:val="24"/>
        </w:rPr>
      </w:pPr>
      <w:r w:rsidRPr="00857BA4">
        <w:rPr>
          <w:rFonts w:ascii="Book Antiqua" w:hAnsi="Book Antiqua"/>
          <w:sz w:val="24"/>
          <w:szCs w:val="24"/>
        </w:rPr>
        <w:t>La medicina paliativa considera que morir con dignidad supone vivir dignamente hasta el último momento. Afirma también que ello requiere la consideración del enfermo como ser humano hasta el momento de la muerte y el respeto de sus creencias y valores</w:t>
      </w:r>
      <w:r w:rsidRPr="00857BA4">
        <w:rPr>
          <w:rStyle w:val="Refdenotaalpie"/>
          <w:rFonts w:ascii="Book Antiqua" w:hAnsi="Book Antiqua"/>
          <w:sz w:val="24"/>
          <w:szCs w:val="24"/>
        </w:rPr>
        <w:footnoteReference w:id="5"/>
      </w:r>
      <w:r w:rsidRPr="00857BA4">
        <w:rPr>
          <w:rFonts w:ascii="Book Antiqua" w:hAnsi="Book Antiqua"/>
          <w:sz w:val="24"/>
          <w:szCs w:val="24"/>
        </w:rPr>
        <w:t>.</w:t>
      </w:r>
    </w:p>
    <w:p w14:paraId="56B4F581" w14:textId="77777777" w:rsidR="004766B7" w:rsidRPr="00857BA4" w:rsidRDefault="004766B7" w:rsidP="004766B7">
      <w:pPr>
        <w:shd w:val="clear" w:color="auto" w:fill="FFFFFF"/>
        <w:spacing w:after="0"/>
        <w:ind w:right="193"/>
        <w:jc w:val="both"/>
        <w:rPr>
          <w:rFonts w:ascii="Book Antiqua" w:hAnsi="Book Antiqua"/>
          <w:sz w:val="24"/>
          <w:szCs w:val="24"/>
        </w:rPr>
      </w:pPr>
    </w:p>
    <w:p w14:paraId="773B2ECD" w14:textId="77777777" w:rsidR="004766B7" w:rsidRDefault="004766B7" w:rsidP="004766B7">
      <w:pPr>
        <w:shd w:val="clear" w:color="auto" w:fill="FFFFFF"/>
        <w:spacing w:after="0"/>
        <w:ind w:right="193"/>
        <w:jc w:val="both"/>
        <w:rPr>
          <w:rFonts w:ascii="Book Antiqua" w:hAnsi="Book Antiqua"/>
          <w:sz w:val="24"/>
          <w:szCs w:val="24"/>
        </w:rPr>
      </w:pPr>
      <w:r w:rsidRPr="00857BA4">
        <w:rPr>
          <w:rFonts w:ascii="Book Antiqua" w:hAnsi="Book Antiqua"/>
          <w:sz w:val="24"/>
          <w:szCs w:val="24"/>
        </w:rPr>
        <w:t>Los cuidados paliativos no tienen como objetivo la muerte del enfermo, sino que cuidan de su vida mientras este llega a su fin, alivian su sufrimiento y proporcionan los medios para una muerte tolerable</w:t>
      </w:r>
      <w:r w:rsidRPr="00857BA4">
        <w:rPr>
          <w:rStyle w:val="Refdenotaalpie"/>
          <w:rFonts w:ascii="Book Antiqua" w:hAnsi="Book Antiqua"/>
          <w:sz w:val="24"/>
          <w:szCs w:val="24"/>
        </w:rPr>
        <w:footnoteReference w:id="6"/>
      </w:r>
      <w:r w:rsidRPr="00857BA4">
        <w:rPr>
          <w:rFonts w:ascii="Book Antiqua" w:hAnsi="Book Antiqua"/>
          <w:sz w:val="24"/>
          <w:szCs w:val="24"/>
        </w:rPr>
        <w:t>. Paliar es mitigar el sufrimiento, reafirmando la importancia de la vida, pero aceptando que la muerte es una realidad humana</w:t>
      </w:r>
      <w:r w:rsidRPr="00857BA4">
        <w:rPr>
          <w:rStyle w:val="Refdenotaalpie"/>
          <w:rFonts w:ascii="Book Antiqua" w:hAnsi="Book Antiqua"/>
          <w:sz w:val="24"/>
          <w:szCs w:val="24"/>
        </w:rPr>
        <w:footnoteReference w:id="7"/>
      </w:r>
      <w:r w:rsidRPr="00857BA4">
        <w:rPr>
          <w:rFonts w:ascii="Book Antiqua" w:hAnsi="Book Antiqua"/>
          <w:sz w:val="24"/>
          <w:szCs w:val="24"/>
        </w:rPr>
        <w:t>.</w:t>
      </w:r>
    </w:p>
    <w:p w14:paraId="347F5F9E" w14:textId="77777777" w:rsidR="00F940D0" w:rsidRDefault="00F940D0" w:rsidP="004766B7">
      <w:pPr>
        <w:shd w:val="clear" w:color="auto" w:fill="FFFFFF"/>
        <w:spacing w:after="0"/>
        <w:ind w:right="193"/>
        <w:jc w:val="both"/>
        <w:rPr>
          <w:rFonts w:ascii="Book Antiqua" w:hAnsi="Book Antiqua"/>
          <w:sz w:val="24"/>
          <w:szCs w:val="24"/>
        </w:rPr>
      </w:pPr>
    </w:p>
    <w:p w14:paraId="1583EEAB" w14:textId="77777777" w:rsidR="00B2441B" w:rsidRDefault="00B2441B" w:rsidP="00B2441B">
      <w:pPr>
        <w:shd w:val="clear" w:color="auto" w:fill="FFFFFF"/>
        <w:spacing w:after="0"/>
        <w:ind w:right="193"/>
        <w:jc w:val="both"/>
        <w:rPr>
          <w:rFonts w:ascii="Book Antiqua" w:hAnsi="Book Antiqua"/>
          <w:b/>
          <w:bCs/>
          <w:sz w:val="24"/>
          <w:szCs w:val="24"/>
        </w:rPr>
      </w:pPr>
    </w:p>
    <w:p w14:paraId="0167C76E" w14:textId="77777777" w:rsidR="00F940D0" w:rsidRDefault="00F940D0" w:rsidP="00F940D0">
      <w:pPr>
        <w:pStyle w:val="Prrafodelista"/>
        <w:numPr>
          <w:ilvl w:val="0"/>
          <w:numId w:val="4"/>
        </w:numPr>
        <w:shd w:val="clear" w:color="auto" w:fill="FFFFFF"/>
        <w:spacing w:after="0"/>
        <w:ind w:right="193"/>
        <w:jc w:val="both"/>
        <w:rPr>
          <w:rFonts w:ascii="Book Antiqua" w:hAnsi="Book Antiqua"/>
          <w:b/>
          <w:bCs/>
          <w:sz w:val="24"/>
          <w:szCs w:val="24"/>
        </w:rPr>
      </w:pPr>
      <w:r>
        <w:rPr>
          <w:rFonts w:ascii="Book Antiqua" w:hAnsi="Book Antiqua"/>
          <w:b/>
          <w:bCs/>
          <w:sz w:val="24"/>
          <w:szCs w:val="24"/>
        </w:rPr>
        <w:lastRenderedPageBreak/>
        <w:t>Conflicto de Intereses</w:t>
      </w:r>
    </w:p>
    <w:p w14:paraId="055A6802" w14:textId="77777777" w:rsidR="00F940D0" w:rsidRDefault="00F940D0" w:rsidP="00F940D0">
      <w:pPr>
        <w:shd w:val="clear" w:color="auto" w:fill="FFFFFF"/>
        <w:spacing w:after="0"/>
        <w:ind w:right="193"/>
        <w:jc w:val="both"/>
        <w:rPr>
          <w:rFonts w:ascii="Book Antiqua" w:hAnsi="Book Antiqua"/>
          <w:b/>
          <w:bCs/>
          <w:sz w:val="24"/>
          <w:szCs w:val="24"/>
        </w:rPr>
      </w:pPr>
    </w:p>
    <w:p w14:paraId="7854CC2C" w14:textId="77777777" w:rsidR="00F940D0" w:rsidRPr="00F940D0" w:rsidRDefault="00F940D0" w:rsidP="00F940D0">
      <w:pPr>
        <w:shd w:val="clear" w:color="auto" w:fill="FFFFFF"/>
        <w:spacing w:after="0"/>
        <w:ind w:right="193"/>
        <w:jc w:val="both"/>
        <w:rPr>
          <w:rFonts w:ascii="Book Antiqua" w:hAnsi="Book Antiqua"/>
          <w:bCs/>
          <w:sz w:val="24"/>
          <w:szCs w:val="24"/>
        </w:rPr>
      </w:pPr>
      <w:r w:rsidRPr="00F940D0">
        <w:rPr>
          <w:rFonts w:ascii="Book Antiqua" w:hAnsi="Book Antiqua"/>
          <w:bCs/>
          <w:sz w:val="24"/>
          <w:szCs w:val="24"/>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6829A934" w14:textId="77777777" w:rsidR="00F940D0" w:rsidRPr="00F940D0" w:rsidRDefault="00F940D0" w:rsidP="00F940D0">
      <w:pPr>
        <w:shd w:val="clear" w:color="auto" w:fill="FFFFFF"/>
        <w:spacing w:after="0"/>
        <w:ind w:right="193"/>
        <w:jc w:val="both"/>
        <w:rPr>
          <w:rFonts w:ascii="Book Antiqua" w:hAnsi="Book Antiqua"/>
          <w:bCs/>
          <w:sz w:val="24"/>
          <w:szCs w:val="24"/>
        </w:rPr>
      </w:pPr>
      <w:r w:rsidRPr="00F940D0">
        <w:rPr>
          <w:rFonts w:ascii="Book Antiqua" w:hAnsi="Book Antiqua"/>
          <w:bCs/>
          <w:sz w:val="24"/>
          <w:szCs w:val="24"/>
        </w:rPr>
        <w:t xml:space="preserve"> </w:t>
      </w:r>
    </w:p>
    <w:p w14:paraId="214D1C2A" w14:textId="77777777" w:rsidR="00F940D0" w:rsidRPr="00F940D0" w:rsidRDefault="00F940D0" w:rsidP="00F940D0">
      <w:pPr>
        <w:shd w:val="clear" w:color="auto" w:fill="FFFFFF"/>
        <w:spacing w:after="0"/>
        <w:ind w:right="193"/>
        <w:jc w:val="both"/>
        <w:rPr>
          <w:rFonts w:ascii="Book Antiqua" w:hAnsi="Book Antiqua"/>
          <w:bCs/>
          <w:sz w:val="24"/>
          <w:szCs w:val="24"/>
        </w:rPr>
      </w:pPr>
      <w:r w:rsidRPr="00F940D0">
        <w:rPr>
          <w:rFonts w:ascii="Book Antiqua" w:hAnsi="Book Antiqua"/>
          <w:bCs/>
          <w:sz w:val="24"/>
          <w:szCs w:val="24"/>
        </w:rPr>
        <w:t>Se estima que el presente proyecto de ley</w:t>
      </w:r>
      <w:r>
        <w:rPr>
          <w:rFonts w:ascii="Book Antiqua" w:hAnsi="Book Antiqua"/>
          <w:bCs/>
          <w:sz w:val="24"/>
          <w:szCs w:val="24"/>
        </w:rPr>
        <w:t xml:space="preserve"> estatutaria</w:t>
      </w:r>
      <w:r w:rsidRPr="00F940D0">
        <w:rPr>
          <w:rFonts w:ascii="Book Antiqua" w:hAnsi="Book Antiqua"/>
          <w:bCs/>
          <w:sz w:val="24"/>
          <w:szCs w:val="24"/>
        </w:rPr>
        <w:t xml:space="preserve"> no genera conflictos de interés, puesto que no crearía beneficios particulares, actuales y directos a los congresistas, a su cónyuge, compañero o compañera permanente, o parientes dentro del segundo grado de consanguinidad, segundo de afinidad o primero civil, co</w:t>
      </w:r>
      <w:r>
        <w:rPr>
          <w:rFonts w:ascii="Book Antiqua" w:hAnsi="Book Antiqua"/>
          <w:bCs/>
          <w:sz w:val="24"/>
          <w:szCs w:val="24"/>
        </w:rPr>
        <w:t>nforme a lo dispuesto en la ley</w:t>
      </w:r>
      <w:r w:rsidRPr="00F940D0">
        <w:rPr>
          <w:rFonts w:ascii="Book Antiqua" w:hAnsi="Book Antiqua"/>
          <w:bCs/>
          <w:sz w:val="24"/>
          <w:szCs w:val="24"/>
        </w:rPr>
        <w:t>.</w:t>
      </w:r>
    </w:p>
    <w:p w14:paraId="263E3CCB" w14:textId="77777777" w:rsidR="00F940D0" w:rsidRPr="00F940D0" w:rsidRDefault="00F940D0" w:rsidP="00F940D0">
      <w:pPr>
        <w:shd w:val="clear" w:color="auto" w:fill="FFFFFF"/>
        <w:spacing w:after="0"/>
        <w:ind w:right="193"/>
        <w:jc w:val="both"/>
        <w:rPr>
          <w:rFonts w:ascii="Book Antiqua" w:hAnsi="Book Antiqua"/>
          <w:bCs/>
          <w:sz w:val="24"/>
          <w:szCs w:val="24"/>
        </w:rPr>
      </w:pPr>
      <w:r w:rsidRPr="00F940D0">
        <w:rPr>
          <w:rFonts w:ascii="Book Antiqua" w:hAnsi="Book Antiqua"/>
          <w:bCs/>
          <w:sz w:val="24"/>
          <w:szCs w:val="24"/>
        </w:rPr>
        <w:t xml:space="preserve"> </w:t>
      </w:r>
    </w:p>
    <w:p w14:paraId="3CAF00CD" w14:textId="77777777" w:rsidR="00F940D0" w:rsidRPr="00F940D0" w:rsidRDefault="00F940D0" w:rsidP="00F940D0">
      <w:pPr>
        <w:shd w:val="clear" w:color="auto" w:fill="FFFFFF"/>
        <w:spacing w:after="0"/>
        <w:ind w:right="193"/>
        <w:jc w:val="both"/>
        <w:rPr>
          <w:rFonts w:ascii="Book Antiqua" w:hAnsi="Book Antiqua"/>
          <w:bCs/>
          <w:sz w:val="24"/>
          <w:szCs w:val="24"/>
        </w:rPr>
      </w:pPr>
      <w:r w:rsidRPr="00F940D0">
        <w:rPr>
          <w:rFonts w:ascii="Book Antiqua" w:hAnsi="Book Antiqua"/>
          <w:bCs/>
          <w:sz w:val="24"/>
          <w:szCs w:val="24"/>
        </w:rPr>
        <w:t>La descripción de los posibles conflictos de interés que se puedan presentar sobre el trámite del presente proyecto de ley</w:t>
      </w:r>
      <w:r>
        <w:rPr>
          <w:rFonts w:ascii="Book Antiqua" w:hAnsi="Book Antiqua"/>
          <w:bCs/>
          <w:sz w:val="24"/>
          <w:szCs w:val="24"/>
        </w:rPr>
        <w:t xml:space="preserve"> estatutaria</w:t>
      </w:r>
      <w:r w:rsidRPr="00F940D0">
        <w:rPr>
          <w:rFonts w:ascii="Book Antiqua" w:hAnsi="Book Antiqua"/>
          <w:bCs/>
          <w:sz w:val="24"/>
          <w:szCs w:val="24"/>
        </w:rPr>
        <w:t xml:space="preserve"> no exime del deber del Congresista de identificar causales adicionales que pueda encontrar durante el trámite del proyecto.</w:t>
      </w:r>
    </w:p>
    <w:p w14:paraId="20BE9623" w14:textId="77777777" w:rsidR="00B2441B" w:rsidRDefault="00B2441B" w:rsidP="00B2441B">
      <w:pPr>
        <w:shd w:val="clear" w:color="auto" w:fill="FFFFFF"/>
        <w:spacing w:after="0"/>
        <w:ind w:right="193"/>
        <w:jc w:val="both"/>
        <w:rPr>
          <w:rFonts w:ascii="Book Antiqua" w:hAnsi="Book Antiqua"/>
          <w:b/>
          <w:bCs/>
          <w:sz w:val="24"/>
          <w:szCs w:val="24"/>
        </w:rPr>
      </w:pPr>
    </w:p>
    <w:p w14:paraId="4A927223" w14:textId="77777777" w:rsidR="00F940D0" w:rsidRDefault="00F940D0" w:rsidP="00B2441B">
      <w:pPr>
        <w:shd w:val="clear" w:color="auto" w:fill="FFFFFF"/>
        <w:spacing w:after="0"/>
        <w:ind w:right="193"/>
        <w:jc w:val="both"/>
        <w:rPr>
          <w:rFonts w:ascii="Book Antiqua" w:hAnsi="Book Antiqua"/>
          <w:b/>
          <w:bCs/>
          <w:sz w:val="24"/>
          <w:szCs w:val="24"/>
        </w:rPr>
      </w:pPr>
    </w:p>
    <w:p w14:paraId="4CD2D9E7" w14:textId="77777777" w:rsidR="004766B7" w:rsidRDefault="004766B7" w:rsidP="004766B7">
      <w:pPr>
        <w:pStyle w:val="Prrafodelista"/>
        <w:numPr>
          <w:ilvl w:val="0"/>
          <w:numId w:val="4"/>
        </w:numPr>
        <w:shd w:val="clear" w:color="auto" w:fill="FFFFFF"/>
        <w:spacing w:after="0"/>
        <w:ind w:right="193"/>
        <w:jc w:val="both"/>
        <w:rPr>
          <w:rFonts w:ascii="Book Antiqua" w:hAnsi="Book Antiqua"/>
          <w:b/>
          <w:bCs/>
          <w:sz w:val="24"/>
          <w:szCs w:val="24"/>
        </w:rPr>
      </w:pPr>
      <w:r w:rsidRPr="00B40377">
        <w:rPr>
          <w:rFonts w:ascii="Book Antiqua" w:hAnsi="Book Antiqua"/>
          <w:b/>
          <w:bCs/>
          <w:sz w:val="24"/>
          <w:szCs w:val="24"/>
        </w:rPr>
        <w:t xml:space="preserve">Proposición </w:t>
      </w:r>
    </w:p>
    <w:p w14:paraId="4FFE5D2A" w14:textId="77777777" w:rsidR="004766B7" w:rsidRPr="004766B7" w:rsidRDefault="004766B7" w:rsidP="004766B7">
      <w:pPr>
        <w:pStyle w:val="Prrafodelista"/>
        <w:shd w:val="clear" w:color="auto" w:fill="FFFFFF"/>
        <w:spacing w:after="0"/>
        <w:ind w:right="193"/>
        <w:jc w:val="both"/>
        <w:rPr>
          <w:rFonts w:ascii="Book Antiqua" w:hAnsi="Book Antiqua"/>
          <w:b/>
          <w:bCs/>
          <w:sz w:val="24"/>
          <w:szCs w:val="24"/>
        </w:rPr>
      </w:pPr>
    </w:p>
    <w:p w14:paraId="6C4903D3" w14:textId="77777777" w:rsidR="004766B7" w:rsidRPr="0096421A" w:rsidRDefault="004766B7" w:rsidP="004766B7">
      <w:pPr>
        <w:jc w:val="both"/>
        <w:rPr>
          <w:rFonts w:ascii="Book Antiqua" w:hAnsi="Book Antiqua"/>
          <w:color w:val="000000" w:themeColor="text1"/>
          <w:sz w:val="24"/>
          <w:szCs w:val="24"/>
        </w:rPr>
      </w:pPr>
      <w:r w:rsidRPr="00857BA4">
        <w:rPr>
          <w:rFonts w:ascii="Book Antiqua" w:hAnsi="Book Antiqua"/>
          <w:sz w:val="24"/>
          <w:szCs w:val="24"/>
        </w:rPr>
        <w:t xml:space="preserve">Por las razones expuestas, </w:t>
      </w:r>
      <w:r>
        <w:rPr>
          <w:rFonts w:ascii="Book Antiqua" w:hAnsi="Book Antiqua"/>
          <w:sz w:val="24"/>
          <w:szCs w:val="24"/>
        </w:rPr>
        <w:t>se solicita que este proyecto de L</w:t>
      </w:r>
      <w:r w:rsidRPr="00857BA4">
        <w:rPr>
          <w:rFonts w:ascii="Book Antiqua" w:hAnsi="Book Antiqua"/>
          <w:sz w:val="24"/>
          <w:szCs w:val="24"/>
        </w:rPr>
        <w:t>ey</w:t>
      </w:r>
      <w:r>
        <w:rPr>
          <w:rFonts w:ascii="Book Antiqua" w:hAnsi="Book Antiqua"/>
          <w:sz w:val="24"/>
          <w:szCs w:val="24"/>
        </w:rPr>
        <w:t xml:space="preserve"> estatuaria oo6 de 2022 Cámara</w:t>
      </w:r>
      <w:r w:rsidRPr="00857BA4">
        <w:rPr>
          <w:rFonts w:ascii="Book Antiqua" w:hAnsi="Book Antiqua"/>
          <w:sz w:val="24"/>
          <w:szCs w:val="24"/>
        </w:rPr>
        <w:t xml:space="preserve"> “</w:t>
      </w:r>
      <w:r>
        <w:rPr>
          <w:rFonts w:ascii="Book Antiqua" w:hAnsi="Book Antiqua"/>
          <w:sz w:val="24"/>
          <w:szCs w:val="24"/>
        </w:rPr>
        <w:t>P</w:t>
      </w:r>
      <w:r w:rsidRPr="00857BA4">
        <w:rPr>
          <w:rFonts w:ascii="Book Antiqua" w:hAnsi="Book Antiqua"/>
          <w:sz w:val="24"/>
          <w:szCs w:val="24"/>
        </w:rPr>
        <w:t xml:space="preserve">or medio de la cual se regula el acceso al derecho fundamental a la muerte digna bajo la modalidad de muerte </w:t>
      </w:r>
      <w:r w:rsidRPr="0096421A">
        <w:rPr>
          <w:rFonts w:ascii="Book Antiqua" w:hAnsi="Book Antiqua"/>
          <w:color w:val="000000" w:themeColor="text1"/>
          <w:sz w:val="24"/>
          <w:szCs w:val="24"/>
        </w:rPr>
        <w:t>médicamente asistida y se dictan otras disposiciones” al ser contrario a la Constitución</w:t>
      </w:r>
      <w:r>
        <w:rPr>
          <w:rFonts w:ascii="Book Antiqua" w:hAnsi="Book Antiqua"/>
          <w:color w:val="000000" w:themeColor="text1"/>
          <w:sz w:val="24"/>
          <w:szCs w:val="24"/>
        </w:rPr>
        <w:t>,</w:t>
      </w:r>
      <w:r w:rsidRPr="0096421A">
        <w:rPr>
          <w:rFonts w:ascii="Book Antiqua" w:hAnsi="Book Antiqua"/>
          <w:color w:val="000000" w:themeColor="text1"/>
          <w:sz w:val="24"/>
          <w:szCs w:val="24"/>
        </w:rPr>
        <w:t xml:space="preserve"> </w:t>
      </w:r>
      <w:r>
        <w:rPr>
          <w:rFonts w:ascii="Book Antiqua" w:hAnsi="Book Antiqua"/>
          <w:color w:val="000000" w:themeColor="text1"/>
          <w:sz w:val="24"/>
          <w:szCs w:val="24"/>
        </w:rPr>
        <w:t>sea</w:t>
      </w:r>
      <w:r w:rsidRPr="0096421A">
        <w:rPr>
          <w:rFonts w:ascii="Book Antiqua" w:hAnsi="Book Antiqua"/>
          <w:color w:val="000000" w:themeColor="text1"/>
          <w:sz w:val="24"/>
          <w:szCs w:val="24"/>
        </w:rPr>
        <w:t xml:space="preserve"> archivado</w:t>
      </w:r>
      <w:r>
        <w:rPr>
          <w:rFonts w:ascii="Book Antiqua" w:hAnsi="Book Antiqua"/>
          <w:color w:val="000000" w:themeColor="text1"/>
          <w:sz w:val="24"/>
          <w:szCs w:val="24"/>
        </w:rPr>
        <w:t>.</w:t>
      </w:r>
    </w:p>
    <w:p w14:paraId="4824A140" w14:textId="77777777" w:rsidR="004766B7" w:rsidRPr="004766B7" w:rsidRDefault="004766B7" w:rsidP="004766B7">
      <w:pPr>
        <w:jc w:val="both"/>
        <w:rPr>
          <w:rFonts w:ascii="Book Antiqua" w:hAnsi="Book Antiqua"/>
          <w:sz w:val="24"/>
          <w:szCs w:val="24"/>
        </w:rPr>
      </w:pPr>
    </w:p>
    <w:tbl>
      <w:tblPr>
        <w:tblStyle w:val="Tablaconcuadrcula"/>
        <w:tblW w:w="9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24"/>
      </w:tblGrid>
      <w:tr w:rsidR="0028726B" w14:paraId="2CFA313D" w14:textId="77777777" w:rsidTr="0028726B">
        <w:trPr>
          <w:trHeight w:val="1546"/>
        </w:trPr>
        <w:tc>
          <w:tcPr>
            <w:tcW w:w="4624" w:type="dxa"/>
          </w:tcPr>
          <w:p w14:paraId="4917640A" w14:textId="77777777" w:rsidR="0028726B" w:rsidRPr="004766B7" w:rsidRDefault="0028726B" w:rsidP="0028726B">
            <w:pPr>
              <w:pStyle w:val="Sinespaciado"/>
              <w:rPr>
                <w:rFonts w:ascii="Book Antiqua" w:hAnsi="Book Antiqua"/>
                <w:b/>
                <w:sz w:val="24"/>
                <w:szCs w:val="24"/>
              </w:rPr>
            </w:pPr>
            <w:r w:rsidRPr="004766B7">
              <w:rPr>
                <w:rFonts w:ascii="Book Antiqua" w:hAnsi="Book Antiqua"/>
                <w:b/>
                <w:sz w:val="24"/>
                <w:szCs w:val="24"/>
              </w:rPr>
              <w:t>JUAN DANIEL PEÑUELA CALVACHE</w:t>
            </w:r>
          </w:p>
          <w:p w14:paraId="2165B14C" w14:textId="77777777" w:rsidR="0028726B" w:rsidRPr="004766B7" w:rsidRDefault="0028726B" w:rsidP="0028726B">
            <w:pPr>
              <w:pStyle w:val="Sinespaciado"/>
              <w:rPr>
                <w:rFonts w:ascii="Book Antiqua" w:hAnsi="Book Antiqua"/>
                <w:b/>
                <w:sz w:val="24"/>
                <w:szCs w:val="24"/>
              </w:rPr>
            </w:pPr>
            <w:r w:rsidRPr="004766B7">
              <w:rPr>
                <w:rFonts w:ascii="Book Antiqua" w:hAnsi="Book Antiqua"/>
                <w:b/>
                <w:sz w:val="24"/>
                <w:szCs w:val="24"/>
              </w:rPr>
              <w:t>Representante a la Cámara</w:t>
            </w:r>
            <w:r>
              <w:rPr>
                <w:rFonts w:ascii="Book Antiqua" w:hAnsi="Book Antiqua"/>
                <w:b/>
                <w:sz w:val="24"/>
                <w:szCs w:val="24"/>
              </w:rPr>
              <w:t xml:space="preserve"> de Nariño </w:t>
            </w:r>
          </w:p>
          <w:p w14:paraId="105F4BFD" w14:textId="554F6608" w:rsidR="0028726B" w:rsidRDefault="0028726B" w:rsidP="0028726B">
            <w:pPr>
              <w:jc w:val="both"/>
              <w:rPr>
                <w:rFonts w:ascii="Book Antiqua" w:hAnsi="Book Antiqua"/>
                <w:b/>
                <w:sz w:val="24"/>
                <w:szCs w:val="24"/>
              </w:rPr>
            </w:pPr>
            <w:r w:rsidRPr="004766B7">
              <w:rPr>
                <w:rFonts w:ascii="Book Antiqua" w:hAnsi="Book Antiqua"/>
                <w:b/>
                <w:sz w:val="24"/>
                <w:szCs w:val="24"/>
              </w:rPr>
              <w:t>Ponente</w:t>
            </w:r>
          </w:p>
        </w:tc>
        <w:tc>
          <w:tcPr>
            <w:tcW w:w="4624" w:type="dxa"/>
          </w:tcPr>
          <w:p w14:paraId="6B93333B" w14:textId="77777777" w:rsidR="0028726B" w:rsidRDefault="0028726B" w:rsidP="0028726B">
            <w:pPr>
              <w:spacing w:after="0" w:line="240" w:lineRule="auto"/>
              <w:rPr>
                <w:rFonts w:ascii="Book Antiqua" w:hAnsi="Book Antiqua"/>
                <w:b/>
                <w:sz w:val="24"/>
                <w:szCs w:val="24"/>
              </w:rPr>
            </w:pPr>
            <w:r>
              <w:rPr>
                <w:rFonts w:ascii="Book Antiqua" w:hAnsi="Book Antiqua"/>
                <w:b/>
                <w:sz w:val="24"/>
                <w:szCs w:val="24"/>
              </w:rPr>
              <w:t>JOSÉ JAIME USCÁTEGUI PASTRANA</w:t>
            </w:r>
          </w:p>
          <w:p w14:paraId="10C2ACA3" w14:textId="021E7E0B" w:rsidR="0028726B" w:rsidRDefault="0028726B" w:rsidP="0028726B">
            <w:pPr>
              <w:spacing w:after="0" w:line="240" w:lineRule="auto"/>
              <w:jc w:val="both"/>
              <w:rPr>
                <w:rFonts w:ascii="Book Antiqua" w:hAnsi="Book Antiqua"/>
                <w:b/>
                <w:sz w:val="24"/>
                <w:szCs w:val="24"/>
              </w:rPr>
            </w:pPr>
            <w:r>
              <w:rPr>
                <w:rFonts w:ascii="Book Antiqua" w:hAnsi="Book Antiqua"/>
                <w:b/>
                <w:sz w:val="24"/>
                <w:szCs w:val="24"/>
              </w:rPr>
              <w:t xml:space="preserve">Representante a la Cámara por Bogotá </w:t>
            </w:r>
          </w:p>
          <w:p w14:paraId="32F2F051" w14:textId="470E1513" w:rsidR="0028726B" w:rsidRPr="0028726B" w:rsidRDefault="0028726B" w:rsidP="0028726B">
            <w:pPr>
              <w:spacing w:after="0" w:line="240" w:lineRule="auto"/>
              <w:jc w:val="both"/>
              <w:rPr>
                <w:rFonts w:ascii="Book Antiqua" w:hAnsi="Book Antiqua"/>
                <w:b/>
                <w:sz w:val="24"/>
                <w:szCs w:val="24"/>
              </w:rPr>
            </w:pPr>
            <w:r>
              <w:rPr>
                <w:rFonts w:ascii="Book Antiqua" w:hAnsi="Book Antiqua"/>
                <w:b/>
                <w:sz w:val="24"/>
                <w:szCs w:val="24"/>
              </w:rPr>
              <w:t>Ponente</w:t>
            </w:r>
          </w:p>
        </w:tc>
      </w:tr>
    </w:tbl>
    <w:p w14:paraId="0CE5457C" w14:textId="3B9F214E" w:rsidR="004766B7" w:rsidRPr="004766B7" w:rsidRDefault="004766B7" w:rsidP="004766B7">
      <w:pPr>
        <w:pStyle w:val="Sinespaciado"/>
        <w:rPr>
          <w:rFonts w:ascii="Book Antiqua" w:hAnsi="Book Antiqua"/>
          <w:b/>
          <w:sz w:val="24"/>
          <w:szCs w:val="24"/>
        </w:rPr>
      </w:pPr>
      <w:r w:rsidRPr="004766B7">
        <w:rPr>
          <w:rFonts w:ascii="Book Antiqua" w:hAnsi="Book Antiqua"/>
          <w:b/>
          <w:sz w:val="24"/>
          <w:szCs w:val="24"/>
        </w:rPr>
        <w:t xml:space="preserve"> </w:t>
      </w:r>
    </w:p>
    <w:sectPr w:rsidR="004766B7" w:rsidRPr="004766B7" w:rsidSect="006C7944">
      <w:headerReference w:type="default" r:id="rId7"/>
      <w:footerReference w:type="default" r:id="rId8"/>
      <w:pgSz w:w="12240" w:h="15840"/>
      <w:pgMar w:top="1701" w:right="1701" w:bottom="1134" w:left="170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4B38" w14:textId="77777777" w:rsidR="004F49C3" w:rsidRDefault="004F49C3" w:rsidP="00760A03">
      <w:pPr>
        <w:spacing w:after="0" w:line="240" w:lineRule="auto"/>
      </w:pPr>
      <w:r>
        <w:separator/>
      </w:r>
    </w:p>
  </w:endnote>
  <w:endnote w:type="continuationSeparator" w:id="0">
    <w:p w14:paraId="592612E1" w14:textId="77777777" w:rsidR="004F49C3" w:rsidRDefault="004F49C3" w:rsidP="0076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3A45" w14:textId="5991CCC8" w:rsidR="006C7944" w:rsidRDefault="004F49C3" w:rsidP="00D72EFF">
    <w:pPr>
      <w:pStyle w:val="Piedepgina"/>
      <w:jc w:val="both"/>
    </w:pPr>
  </w:p>
  <w:p w14:paraId="2941BFC2" w14:textId="77777777" w:rsidR="00D72EFF" w:rsidRDefault="004F49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5A74" w14:textId="77777777" w:rsidR="004F49C3" w:rsidRDefault="004F49C3" w:rsidP="00760A03">
      <w:pPr>
        <w:spacing w:after="0" w:line="240" w:lineRule="auto"/>
      </w:pPr>
      <w:r>
        <w:separator/>
      </w:r>
    </w:p>
  </w:footnote>
  <w:footnote w:type="continuationSeparator" w:id="0">
    <w:p w14:paraId="799CE3FD" w14:textId="77777777" w:rsidR="004F49C3" w:rsidRDefault="004F49C3" w:rsidP="00760A03">
      <w:pPr>
        <w:spacing w:after="0" w:line="240" w:lineRule="auto"/>
      </w:pPr>
      <w:r>
        <w:continuationSeparator/>
      </w:r>
    </w:p>
  </w:footnote>
  <w:footnote w:id="1">
    <w:p w14:paraId="53B9E65D" w14:textId="77777777" w:rsidR="004766B7" w:rsidRPr="00144709" w:rsidRDefault="004766B7" w:rsidP="004766B7">
      <w:pPr>
        <w:pStyle w:val="Textonotapie"/>
      </w:pPr>
      <w:r>
        <w:rPr>
          <w:rStyle w:val="Refdenotaalpie"/>
        </w:rPr>
        <w:footnoteRef/>
      </w:r>
      <w:r>
        <w:t xml:space="preserve"> Corte Constitucional. Sentencia T 095 de 2016. M.P. Alejandro Linares Cantillo. </w:t>
      </w:r>
    </w:p>
  </w:footnote>
  <w:footnote w:id="2">
    <w:p w14:paraId="1DC75C1F" w14:textId="77777777" w:rsidR="004766B7" w:rsidRPr="001F3620" w:rsidRDefault="004766B7" w:rsidP="004766B7">
      <w:pPr>
        <w:pStyle w:val="Textonotapie"/>
      </w:pPr>
      <w:r>
        <w:rPr>
          <w:rStyle w:val="Refdenotaalpie"/>
        </w:rPr>
        <w:footnoteRef/>
      </w:r>
      <w:r>
        <w:t xml:space="preserve"> </w:t>
      </w:r>
      <w:r w:rsidRPr="007E2D2C">
        <w:t xml:space="preserve">Fundación Colombiana de Ética y Bioética FUCEB. Concepto técnico remitido a la Corte Constitucional, sentencia C- 233 de 2021. </w:t>
      </w:r>
    </w:p>
  </w:footnote>
  <w:footnote w:id="3">
    <w:p w14:paraId="0425DF0B" w14:textId="77777777" w:rsidR="004766B7" w:rsidRPr="00071852" w:rsidRDefault="004766B7" w:rsidP="004766B7">
      <w:pPr>
        <w:jc w:val="both"/>
      </w:pPr>
      <w:r w:rsidRPr="008D0847">
        <w:rPr>
          <w:rStyle w:val="Refdenotaalpie"/>
          <w:b/>
          <w:bCs/>
        </w:rPr>
        <w:footnoteRef/>
      </w:r>
      <w:r w:rsidRPr="00071852">
        <w:t xml:space="preserve"> </w:t>
      </w:r>
      <w:hyperlink r:id="rId1" w:history="1">
        <w:r w:rsidRPr="00071852">
          <w:rPr>
            <w:rStyle w:val="Hipervnculo"/>
          </w:rPr>
          <w:t>https://www.minsalud.gov.co/sites/rid/Lists/BibliotecaDigital/RIDE/VS/PP/ENT/abece-cuidados-paliativos.pdf</w:t>
        </w:r>
      </w:hyperlink>
    </w:p>
  </w:footnote>
  <w:footnote w:id="4">
    <w:p w14:paraId="3BEA4AF0" w14:textId="77777777" w:rsidR="004766B7" w:rsidRDefault="004766B7" w:rsidP="004766B7">
      <w:pPr>
        <w:pStyle w:val="Textonotapie"/>
        <w:jc w:val="both"/>
      </w:pPr>
      <w:r>
        <w:rPr>
          <w:rStyle w:val="Refdenotaalpie"/>
        </w:rPr>
        <w:footnoteRef/>
      </w:r>
      <w:r>
        <w:t xml:space="preserve"> </w:t>
      </w:r>
      <w:r w:rsidRPr="007E2D2C">
        <w:t>El Tiempo. Análisis. Pacientes terminales mueren en medio del dolor y el sufrimiento. 7 de septiembre de 2021.https://www.eltiempo.com/salud/cuidados-paliativos-en-colombia-y-america-latina-asi-esta-el-panorama-616108</w:t>
      </w:r>
    </w:p>
  </w:footnote>
  <w:footnote w:id="5">
    <w:p w14:paraId="2649BDE5" w14:textId="77777777" w:rsidR="004766B7" w:rsidRPr="00C41135" w:rsidRDefault="004766B7" w:rsidP="004766B7">
      <w:pPr>
        <w:pStyle w:val="Textonotapie"/>
      </w:pPr>
      <w:r>
        <w:rPr>
          <w:rStyle w:val="Refdenotaalpie"/>
        </w:rPr>
        <w:footnoteRef/>
      </w:r>
      <w:r>
        <w:t xml:space="preserve"> ZURRIARAIN, Roberto. </w:t>
      </w:r>
      <w:r w:rsidRPr="00071852">
        <w:t>Cuidados paliativos: solución ética acorde con la dignidad humana al final de la vida. Universidad de la Sabana. Persona y Bioética, vol. 23, núm. 2, pp. 180-193, 2019.</w:t>
      </w:r>
    </w:p>
  </w:footnote>
  <w:footnote w:id="6">
    <w:p w14:paraId="7606B276" w14:textId="77777777" w:rsidR="004766B7" w:rsidRPr="00C41135" w:rsidRDefault="004766B7" w:rsidP="004766B7">
      <w:pPr>
        <w:pStyle w:val="Textonotapie"/>
      </w:pPr>
      <w:r>
        <w:rPr>
          <w:rStyle w:val="Refdenotaalpie"/>
        </w:rPr>
        <w:footnoteRef/>
      </w:r>
      <w:r>
        <w:t xml:space="preserve"> Ibíd.  </w:t>
      </w:r>
    </w:p>
  </w:footnote>
  <w:footnote w:id="7">
    <w:p w14:paraId="79F94283" w14:textId="77777777" w:rsidR="004766B7" w:rsidRPr="00C41135" w:rsidRDefault="004766B7" w:rsidP="004766B7">
      <w:pPr>
        <w:pStyle w:val="Textonotapie"/>
      </w:pPr>
      <w:r>
        <w:rPr>
          <w:rStyle w:val="Refdenotaalpie"/>
        </w:rPr>
        <w:footnoteRef/>
      </w:r>
      <w:r>
        <w:t xml:space="preserve"> Óp., cit. ZURRIARAIN, Roberto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610F" w14:textId="5B5EA94D" w:rsidR="00EF40F3" w:rsidRDefault="006F0678" w:rsidP="00EA40FC">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1DEA"/>
    <w:multiLevelType w:val="hybridMultilevel"/>
    <w:tmpl w:val="524A6C40"/>
    <w:lvl w:ilvl="0" w:tplc="420050B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A77F34"/>
    <w:multiLevelType w:val="hybridMultilevel"/>
    <w:tmpl w:val="61100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ED6A96"/>
    <w:multiLevelType w:val="hybridMultilevel"/>
    <w:tmpl w:val="397E17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286964"/>
    <w:multiLevelType w:val="hybridMultilevel"/>
    <w:tmpl w:val="4FD4FFA8"/>
    <w:lvl w:ilvl="0" w:tplc="240A000F">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03"/>
    <w:rsid w:val="00026190"/>
    <w:rsid w:val="000648AB"/>
    <w:rsid w:val="000B0396"/>
    <w:rsid w:val="00110F9F"/>
    <w:rsid w:val="00256E18"/>
    <w:rsid w:val="0026267E"/>
    <w:rsid w:val="00277DDC"/>
    <w:rsid w:val="0028726B"/>
    <w:rsid w:val="00315758"/>
    <w:rsid w:val="0034240D"/>
    <w:rsid w:val="00410D99"/>
    <w:rsid w:val="00436E4C"/>
    <w:rsid w:val="004766B7"/>
    <w:rsid w:val="004B16BA"/>
    <w:rsid w:val="004F49C3"/>
    <w:rsid w:val="00603B22"/>
    <w:rsid w:val="006F0678"/>
    <w:rsid w:val="00760A03"/>
    <w:rsid w:val="007D7C89"/>
    <w:rsid w:val="007F2EAD"/>
    <w:rsid w:val="00B11531"/>
    <w:rsid w:val="00B2441B"/>
    <w:rsid w:val="00BD12B4"/>
    <w:rsid w:val="00CC59BB"/>
    <w:rsid w:val="00CE658E"/>
    <w:rsid w:val="00D3032A"/>
    <w:rsid w:val="00E37322"/>
    <w:rsid w:val="00E636C0"/>
    <w:rsid w:val="00E92AC7"/>
    <w:rsid w:val="00ED04B6"/>
    <w:rsid w:val="00F940D0"/>
    <w:rsid w:val="00FC18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D6F92"/>
  <w15:chartTrackingRefBased/>
  <w15:docId w15:val="{EB3CD7F2-8CF5-4904-9A91-AE58369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03"/>
    <w:pPr>
      <w:spacing w:after="200" w:line="276" w:lineRule="auto"/>
    </w:pPr>
    <w:rPr>
      <w:rFonts w:eastAsiaTheme="minorEastAsia"/>
      <w:lang w:eastAsia="es-CO"/>
    </w:rPr>
  </w:style>
  <w:style w:type="paragraph" w:styleId="Ttulo2">
    <w:name w:val="heading 2"/>
    <w:basedOn w:val="Normal"/>
    <w:next w:val="Normal"/>
    <w:link w:val="Ttulo2Car"/>
    <w:uiPriority w:val="9"/>
    <w:semiHidden/>
    <w:unhideWhenUsed/>
    <w:qFormat/>
    <w:rsid w:val="004766B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0A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0A03"/>
    <w:rPr>
      <w:rFonts w:eastAsiaTheme="minorEastAsia"/>
      <w:lang w:eastAsia="es-CO"/>
    </w:rPr>
  </w:style>
  <w:style w:type="paragraph" w:styleId="Piedepgina">
    <w:name w:val="footer"/>
    <w:basedOn w:val="Normal"/>
    <w:link w:val="PiedepginaCar"/>
    <w:uiPriority w:val="99"/>
    <w:unhideWhenUsed/>
    <w:rsid w:val="00760A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0A03"/>
    <w:rPr>
      <w:rFonts w:eastAsiaTheme="minorEastAsia"/>
      <w:lang w:eastAsia="es-CO"/>
    </w:rPr>
  </w:style>
  <w:style w:type="paragraph" w:styleId="Sinespaciado">
    <w:name w:val="No Spacing"/>
    <w:uiPriority w:val="1"/>
    <w:qFormat/>
    <w:rsid w:val="00760A03"/>
    <w:pPr>
      <w:spacing w:after="0" w:line="240" w:lineRule="auto"/>
    </w:pPr>
    <w:rPr>
      <w:rFonts w:eastAsiaTheme="minorEastAsia"/>
      <w:lang w:eastAsia="es-CO"/>
    </w:rPr>
  </w:style>
  <w:style w:type="paragraph" w:styleId="Prrafodelista">
    <w:name w:val="List Paragraph"/>
    <w:basedOn w:val="Normal"/>
    <w:uiPriority w:val="34"/>
    <w:qFormat/>
    <w:rsid w:val="00760A03"/>
    <w:pPr>
      <w:ind w:left="720"/>
      <w:contextualSpacing/>
    </w:pPr>
  </w:style>
  <w:style w:type="paragraph" w:styleId="Textonotapie">
    <w:name w:val="footnote text"/>
    <w:aliases w:val="Ref. de nota al pie1,referencia nota al pie,Appel note de bas de page,BVI fnr,Footnotes refss,Footnote number,f,Nota a pie,Ref,de nota al pie,Ref. de nota al pie 2,Footnote Text Char1 Car Car Car Car,Char Car Car Car Car,Footnote referenc"/>
    <w:basedOn w:val="Normal"/>
    <w:link w:val="TextonotapieCar"/>
    <w:uiPriority w:val="99"/>
    <w:semiHidden/>
    <w:unhideWhenUsed/>
    <w:qFormat/>
    <w:rsid w:val="00760A03"/>
    <w:pPr>
      <w:spacing w:after="0" w:line="240" w:lineRule="auto"/>
    </w:pPr>
    <w:rPr>
      <w:sz w:val="20"/>
      <w:szCs w:val="20"/>
    </w:rPr>
  </w:style>
  <w:style w:type="character" w:customStyle="1" w:styleId="TextonotapieCar">
    <w:name w:val="Texto nota pie Car"/>
    <w:aliases w:val="Ref. de nota al pie1 Car,referencia nota al pie Car,Appel note de bas de page Car,BVI fnr Car,Footnotes refss Car,Footnote number Car,f Car,Nota a pie Car,Ref Car,de nota al pie Car,Ref. de nota al pie 2 Car,Char Car Car Car Car Car"/>
    <w:basedOn w:val="Fuentedeprrafopredeter"/>
    <w:link w:val="Textonotapie"/>
    <w:uiPriority w:val="99"/>
    <w:semiHidden/>
    <w:qFormat/>
    <w:rsid w:val="00760A03"/>
    <w:rPr>
      <w:rFonts w:eastAsiaTheme="minorEastAsia"/>
      <w:sz w:val="20"/>
      <w:szCs w:val="20"/>
      <w:lang w:eastAsia="es-CO"/>
    </w:rPr>
  </w:style>
  <w:style w:type="character" w:styleId="Refdenotaalpie">
    <w:name w:val="footnote reference"/>
    <w:aliases w:val="de nota al pie1,Texto de nota al pie,Ref1,Nota de pie,Texto nota al pie,Fago Fußnotenzeichen,4_G,16 Point,Superscript 6 Point,Footnote Reference Char3,FC,f1,Texto nota pie Car Car,Footnote Text Char Char Char Char Char Char1 Car,R,F"/>
    <w:basedOn w:val="Fuentedeprrafopredeter"/>
    <w:link w:val="4GChar"/>
    <w:uiPriority w:val="99"/>
    <w:unhideWhenUsed/>
    <w:qFormat/>
    <w:rsid w:val="00760A03"/>
    <w:rPr>
      <w:vertAlign w:val="superscript"/>
    </w:rPr>
  </w:style>
  <w:style w:type="character" w:styleId="Hipervnculo">
    <w:name w:val="Hyperlink"/>
    <w:basedOn w:val="Fuentedeprrafopredeter"/>
    <w:uiPriority w:val="99"/>
    <w:semiHidden/>
    <w:unhideWhenUsed/>
    <w:rsid w:val="00760A03"/>
    <w:rPr>
      <w:color w:val="0000FF"/>
      <w:u w:val="single"/>
    </w:rPr>
  </w:style>
  <w:style w:type="paragraph" w:customStyle="1" w:styleId="estlos-gacetasp-rrafos">
    <w:name w:val="estlos-gacetas_p-rrafos"/>
    <w:basedOn w:val="Normal"/>
    <w:rsid w:val="00D3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0">
    <w:name w:val="charoverride-30"/>
    <w:basedOn w:val="Fuentedeprrafopredeter"/>
    <w:rsid w:val="00D3032A"/>
  </w:style>
  <w:style w:type="paragraph" w:styleId="NormalWeb">
    <w:name w:val="Normal (Web)"/>
    <w:basedOn w:val="Normal"/>
    <w:uiPriority w:val="99"/>
    <w:unhideWhenUsed/>
    <w:rsid w:val="00D3032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256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E18"/>
    <w:rPr>
      <w:rFonts w:ascii="Segoe UI" w:eastAsiaTheme="minorEastAsia" w:hAnsi="Segoe UI" w:cs="Segoe UI"/>
      <w:sz w:val="18"/>
      <w:szCs w:val="18"/>
      <w:lang w:eastAsia="es-CO"/>
    </w:rPr>
  </w:style>
  <w:style w:type="character" w:customStyle="1" w:styleId="Ttulo2Car">
    <w:name w:val="Título 2 Car"/>
    <w:basedOn w:val="Fuentedeprrafopredeter"/>
    <w:link w:val="Ttulo2"/>
    <w:uiPriority w:val="9"/>
    <w:semiHidden/>
    <w:rsid w:val="004766B7"/>
    <w:rPr>
      <w:rFonts w:asciiTheme="majorHAnsi" w:eastAsiaTheme="majorEastAsia" w:hAnsiTheme="majorHAnsi" w:cstheme="majorBidi"/>
      <w:color w:val="2E74B5" w:themeColor="accent1" w:themeShade="BF"/>
      <w:sz w:val="26"/>
      <w:szCs w:val="2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766B7"/>
    <w:pPr>
      <w:spacing w:after="0" w:line="240" w:lineRule="auto"/>
      <w:jc w:val="both"/>
    </w:pPr>
    <w:rPr>
      <w:rFonts w:eastAsiaTheme="minorHAnsi"/>
      <w:vertAlign w:val="superscript"/>
      <w:lang w:eastAsia="en-US"/>
    </w:rPr>
  </w:style>
  <w:style w:type="table" w:styleId="Tablaconcuadrcula">
    <w:name w:val="Table Grid"/>
    <w:basedOn w:val="Tablanormal"/>
    <w:uiPriority w:val="39"/>
    <w:rsid w:val="0028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PP/ENT/abece-cuidados-paliativ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3081</Words>
  <Characters>16947</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Vanessa Gonzalez Guerra</dc:creator>
  <cp:keywords/>
  <dc:description/>
  <cp:lastModifiedBy>Maria Camila Gomez Piña UTL</cp:lastModifiedBy>
  <cp:revision>3</cp:revision>
  <cp:lastPrinted>2022-08-23T16:06:00Z</cp:lastPrinted>
  <dcterms:created xsi:type="dcterms:W3CDTF">2022-08-23T17:56:00Z</dcterms:created>
  <dcterms:modified xsi:type="dcterms:W3CDTF">2022-08-23T17:58:00Z</dcterms:modified>
</cp:coreProperties>
</file>